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F8C91" w14:textId="4C6C4168" w:rsidR="00BE1F4B" w:rsidRDefault="00FB1786" w:rsidP="00E2134A">
      <w:pPr>
        <w:pStyle w:val="Heading1"/>
      </w:pPr>
      <w:r>
        <w:softHyphen/>
      </w:r>
      <w:r>
        <w:softHyphen/>
      </w:r>
      <w:r>
        <w:softHyphen/>
      </w:r>
    </w:p>
    <w:p w14:paraId="7E6C14B0" w14:textId="77777777" w:rsidR="00BE1F4B" w:rsidRDefault="00BE1F4B" w:rsidP="00E2134A">
      <w:pPr>
        <w:pStyle w:val="Heading1"/>
      </w:pPr>
    </w:p>
    <w:p w14:paraId="48DE3AA8" w14:textId="77777777" w:rsidR="00BE1F4B" w:rsidRDefault="00BE1F4B" w:rsidP="00E2134A">
      <w:pPr>
        <w:pStyle w:val="Heading1"/>
      </w:pPr>
    </w:p>
    <w:p w14:paraId="725AAE6A" w14:textId="13629AED" w:rsidR="00331EBA" w:rsidRDefault="00331EBA" w:rsidP="00E2134A">
      <w:pPr>
        <w:pStyle w:val="Heading1"/>
      </w:pPr>
      <w:r>
        <w:rPr>
          <w:noProof/>
        </w:rPr>
        <w:drawing>
          <wp:inline distT="0" distB="0" distL="0" distR="0" wp14:anchorId="0F29ED1B" wp14:editId="323E9FDE">
            <wp:extent cx="3140242" cy="1662481"/>
            <wp:effectExtent l="0" t="0" r="0" b="1270"/>
            <wp:docPr id="1980576403" name="Picture 1980576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576403" name="Picture 1980576403"/>
                    <pic:cNvPicPr/>
                  </pic:nvPicPr>
                  <pic:blipFill>
                    <a:blip r:embed="rId7">
                      <a:extLst>
                        <a:ext uri="{28A0092B-C50C-407E-A947-70E740481C1C}">
                          <a14:useLocalDpi xmlns:a14="http://schemas.microsoft.com/office/drawing/2010/main" val="0"/>
                        </a:ext>
                      </a:extLst>
                    </a:blip>
                    <a:stretch>
                      <a:fillRect/>
                    </a:stretch>
                  </pic:blipFill>
                  <pic:spPr>
                    <a:xfrm>
                      <a:off x="0" y="0"/>
                      <a:ext cx="3227016" cy="1708420"/>
                    </a:xfrm>
                    <a:prstGeom prst="rect">
                      <a:avLst/>
                    </a:prstGeom>
                  </pic:spPr>
                </pic:pic>
              </a:graphicData>
            </a:graphic>
          </wp:inline>
        </w:drawing>
      </w:r>
    </w:p>
    <w:p w14:paraId="492BCEB3" w14:textId="77777777" w:rsidR="00331EBA" w:rsidRDefault="00331EBA" w:rsidP="00E2134A">
      <w:pPr>
        <w:pStyle w:val="Heading1"/>
      </w:pPr>
    </w:p>
    <w:p w14:paraId="34DA091E" w14:textId="77777777" w:rsidR="008F6520" w:rsidRPr="004548F9" w:rsidRDefault="008F6520" w:rsidP="00E2134A">
      <w:pPr>
        <w:rPr>
          <w:rFonts w:ascii="Josefin Sans" w:hAnsi="Josefin Sans"/>
          <w:color w:val="B03191"/>
          <w:sz w:val="36"/>
          <w:szCs w:val="36"/>
        </w:rPr>
      </w:pPr>
      <w:r w:rsidRPr="004548F9">
        <w:rPr>
          <w:rFonts w:ascii="Josefin Sans" w:hAnsi="Josefin Sans"/>
          <w:color w:val="B03191"/>
          <w:sz w:val="36"/>
          <w:szCs w:val="36"/>
        </w:rPr>
        <w:t xml:space="preserve">Partnered women’s health research for knowledge </w:t>
      </w:r>
      <w:proofErr w:type="gramStart"/>
      <w:r w:rsidRPr="004548F9">
        <w:rPr>
          <w:rFonts w:ascii="Josefin Sans" w:hAnsi="Josefin Sans"/>
          <w:color w:val="B03191"/>
          <w:sz w:val="36"/>
          <w:szCs w:val="36"/>
        </w:rPr>
        <w:t>mobilization</w:t>
      </w:r>
      <w:proofErr w:type="gramEnd"/>
    </w:p>
    <w:p w14:paraId="45BB7ABB" w14:textId="72BD2FC3" w:rsidR="00E7417E" w:rsidRPr="00857CFC" w:rsidRDefault="008F6520" w:rsidP="00E2134A">
      <w:pPr>
        <w:rPr>
          <w:i/>
          <w:iCs/>
          <w:sz w:val="28"/>
          <w:szCs w:val="28"/>
        </w:rPr>
      </w:pPr>
      <w:r w:rsidRPr="00857CFC">
        <w:rPr>
          <w:i/>
          <w:iCs/>
          <w:sz w:val="28"/>
          <w:szCs w:val="28"/>
        </w:rPr>
        <w:t>PWHR Knowledge Mobilization Tool</w:t>
      </w:r>
    </w:p>
    <w:p w14:paraId="10491D0F" w14:textId="77777777" w:rsidR="008F6520" w:rsidRDefault="008F6520" w:rsidP="00E2134A"/>
    <w:p w14:paraId="0DCE2B1C" w14:textId="77777777" w:rsidR="008F6520" w:rsidRPr="008F6520" w:rsidRDefault="008F6520" w:rsidP="00E2134A"/>
    <w:p w14:paraId="3B3F7522" w14:textId="578BDFB4" w:rsidR="00E7417E" w:rsidRPr="00C56564" w:rsidRDefault="00E7417E" w:rsidP="00E2134A">
      <w:pPr>
        <w:pStyle w:val="Heading1"/>
        <w:rPr>
          <w:rFonts w:ascii="Josefin Sans" w:hAnsi="Josefin Sans"/>
          <w:color w:val="AE2C8E"/>
        </w:rPr>
      </w:pPr>
      <w:r w:rsidRPr="00C56564">
        <w:rPr>
          <w:rFonts w:ascii="Josefin Sans" w:hAnsi="Josefin Sans"/>
          <w:color w:val="AE2C8E"/>
        </w:rPr>
        <w:t>INTRODUCTION</w:t>
      </w:r>
    </w:p>
    <w:p w14:paraId="46BFD364" w14:textId="77777777" w:rsidR="00465913" w:rsidRDefault="00465913" w:rsidP="00E2134A"/>
    <w:p w14:paraId="2CD0BDE2" w14:textId="02A012E1" w:rsidR="00465913" w:rsidRPr="00E2134A" w:rsidRDefault="0031507A" w:rsidP="00E2134A">
      <w:r w:rsidRPr="00E2134A">
        <w:t xml:space="preserve">This tool compliments a </w:t>
      </w:r>
      <w:hyperlink r:id="rId8" w:history="1">
        <w:r w:rsidRPr="00420E15">
          <w:rPr>
            <w:rStyle w:val="Hyperlink"/>
          </w:rPr>
          <w:t>summary of key learnings</w:t>
        </w:r>
      </w:hyperlink>
      <w:r w:rsidRPr="00E2134A">
        <w:t xml:space="preserve"> </w:t>
      </w:r>
      <w:r w:rsidR="000E3D4F" w:rsidRPr="00E2134A">
        <w:t>from</w:t>
      </w:r>
      <w:r w:rsidRPr="00E2134A">
        <w:t xml:space="preserve"> the inaugural </w:t>
      </w:r>
      <w:r w:rsidR="003428F0" w:rsidRPr="00E2134A">
        <w:t xml:space="preserve">Partnership for Women’s Health Research Canada (PWHR) </w:t>
      </w:r>
      <w:r w:rsidRPr="00E2134A">
        <w:t>Seminar Series</w:t>
      </w:r>
      <w:r w:rsidR="003428F0" w:rsidRPr="00E2134A">
        <w:t xml:space="preserve"> (2022-2023)</w:t>
      </w:r>
      <w:r w:rsidRPr="00E2134A">
        <w:t xml:space="preserve">. </w:t>
      </w:r>
      <w:r w:rsidR="00954CFF" w:rsidRPr="00E2134A">
        <w:t xml:space="preserve">It </w:t>
      </w:r>
      <w:r w:rsidR="004154AF" w:rsidRPr="00E2134A">
        <w:t>is intended to prompt reflection</w:t>
      </w:r>
      <w:r w:rsidR="00954CFF" w:rsidRPr="00E2134A">
        <w:t xml:space="preserve"> for</w:t>
      </w:r>
      <w:r w:rsidR="003428F0" w:rsidRPr="00E2134A">
        <w:t xml:space="preserve"> researchers and research</w:t>
      </w:r>
      <w:r w:rsidR="00954CFF" w:rsidRPr="00E2134A">
        <w:t xml:space="preserve"> teams engaging with knowledge holders and users </w:t>
      </w:r>
      <w:r w:rsidR="009C3550" w:rsidRPr="00E2134A">
        <w:t>through research and</w:t>
      </w:r>
      <w:r w:rsidR="00954CFF" w:rsidRPr="00E2134A">
        <w:t xml:space="preserve"> knowledge mobilization </w:t>
      </w:r>
      <w:r w:rsidR="009C3550" w:rsidRPr="00E2134A">
        <w:t>(KM)</w:t>
      </w:r>
      <w:r w:rsidR="000F3538" w:rsidRPr="00E2134A">
        <w:t xml:space="preserve"> to support </w:t>
      </w:r>
      <w:r w:rsidR="004E46C9" w:rsidRPr="00E2134A">
        <w:t xml:space="preserve">sustainability, meaningful </w:t>
      </w:r>
      <w:r w:rsidR="003428F0" w:rsidRPr="00E2134A">
        <w:t>participation</w:t>
      </w:r>
      <w:r w:rsidR="004E46C9" w:rsidRPr="00E2134A">
        <w:t xml:space="preserve">, and </w:t>
      </w:r>
      <w:r w:rsidR="003428F0" w:rsidRPr="00E2134A">
        <w:t>reciprocity</w:t>
      </w:r>
      <w:r w:rsidR="00954CFF" w:rsidRPr="00E2134A">
        <w:t>.</w:t>
      </w:r>
    </w:p>
    <w:p w14:paraId="574B0661" w14:textId="77777777" w:rsidR="00913096" w:rsidRPr="00E2134A" w:rsidRDefault="00913096" w:rsidP="00E2134A"/>
    <w:p w14:paraId="6C8058A2" w14:textId="264F0079" w:rsidR="00247C15" w:rsidRPr="00E2134A" w:rsidRDefault="00913096" w:rsidP="00E2134A">
      <w:r w:rsidRPr="00E2134A">
        <w:t>Consider returning to this tool throughout your work to account for changes in priorities, collaborators, or needs identified in your partnerships.</w:t>
      </w:r>
    </w:p>
    <w:p w14:paraId="5C279A52" w14:textId="77777777" w:rsidR="009B1741" w:rsidRDefault="009B1741"/>
    <w:p w14:paraId="2C50F284" w14:textId="77777777" w:rsidR="009B1741" w:rsidRDefault="009B1741"/>
    <w:p w14:paraId="15E87841" w14:textId="77777777" w:rsidR="000C53C0" w:rsidRDefault="000C53C0">
      <w:pPr>
        <w:rPr>
          <w:rFonts w:ascii="Josefin Sans" w:hAnsi="Josefin Sans"/>
          <w:color w:val="AE2C8E"/>
          <w:sz w:val="32"/>
          <w:szCs w:val="32"/>
        </w:rPr>
      </w:pPr>
    </w:p>
    <w:p w14:paraId="25F2C84F" w14:textId="77777777" w:rsidR="00813871" w:rsidRDefault="00813871">
      <w:pPr>
        <w:rPr>
          <w:rFonts w:ascii="Josefin Sans" w:hAnsi="Josefin Sans"/>
          <w:color w:val="AE2C8E"/>
          <w:sz w:val="32"/>
          <w:szCs w:val="32"/>
        </w:rPr>
      </w:pPr>
    </w:p>
    <w:p w14:paraId="5D69A459" w14:textId="77777777" w:rsidR="00813871" w:rsidRDefault="00813871">
      <w:pPr>
        <w:rPr>
          <w:rFonts w:ascii="Josefin Sans" w:hAnsi="Josefin Sans"/>
          <w:color w:val="AE2C8E"/>
          <w:sz w:val="32"/>
          <w:szCs w:val="32"/>
        </w:rPr>
      </w:pPr>
    </w:p>
    <w:p w14:paraId="0B184280" w14:textId="77777777" w:rsidR="00813871" w:rsidRDefault="00813871">
      <w:pPr>
        <w:rPr>
          <w:rFonts w:ascii="Josefin Sans" w:hAnsi="Josefin Sans"/>
          <w:color w:val="AE2C8E"/>
          <w:sz w:val="32"/>
          <w:szCs w:val="32"/>
        </w:rPr>
      </w:pPr>
    </w:p>
    <w:p w14:paraId="106B3B0B" w14:textId="77777777" w:rsidR="00813871" w:rsidRDefault="00813871">
      <w:pPr>
        <w:rPr>
          <w:rFonts w:ascii="Josefin Sans" w:hAnsi="Josefin Sans"/>
          <w:color w:val="AE2C8E"/>
          <w:sz w:val="32"/>
          <w:szCs w:val="32"/>
        </w:rPr>
      </w:pPr>
    </w:p>
    <w:p w14:paraId="2656C418" w14:textId="77777777" w:rsidR="00813871" w:rsidRDefault="00813871">
      <w:pPr>
        <w:rPr>
          <w:rFonts w:ascii="Josefin Sans" w:hAnsi="Josefin Sans"/>
          <w:color w:val="AE2C8E"/>
          <w:sz w:val="32"/>
          <w:szCs w:val="32"/>
        </w:rPr>
      </w:pPr>
    </w:p>
    <w:p w14:paraId="429FB2DE" w14:textId="77777777" w:rsidR="00813871" w:rsidRDefault="00813871">
      <w:pPr>
        <w:rPr>
          <w:rFonts w:ascii="Josefin Sans" w:hAnsi="Josefin Sans"/>
          <w:color w:val="AE2C8E"/>
          <w:sz w:val="32"/>
          <w:szCs w:val="32"/>
        </w:rPr>
      </w:pPr>
    </w:p>
    <w:p w14:paraId="56B3F9FF" w14:textId="77777777" w:rsidR="00813871" w:rsidRDefault="00813871">
      <w:pPr>
        <w:rPr>
          <w:rFonts w:ascii="Josefin Sans" w:hAnsi="Josefin Sans"/>
          <w:color w:val="AE2C8E"/>
          <w:sz w:val="32"/>
          <w:szCs w:val="32"/>
        </w:rPr>
      </w:pPr>
    </w:p>
    <w:p w14:paraId="4A96E656" w14:textId="77777777" w:rsidR="00813871" w:rsidRDefault="00813871">
      <w:pPr>
        <w:rPr>
          <w:rFonts w:ascii="Josefin Sans" w:hAnsi="Josefin Sans"/>
          <w:color w:val="AE2C8E"/>
          <w:sz w:val="32"/>
          <w:szCs w:val="32"/>
        </w:rPr>
      </w:pPr>
    </w:p>
    <w:p w14:paraId="58726E48" w14:textId="77777777" w:rsidR="00813871" w:rsidRDefault="00813871">
      <w:pPr>
        <w:rPr>
          <w:rFonts w:ascii="Josefin Sans" w:hAnsi="Josefin Sans"/>
          <w:color w:val="AE2C8E"/>
          <w:sz w:val="32"/>
          <w:szCs w:val="32"/>
        </w:rPr>
      </w:pPr>
    </w:p>
    <w:p w14:paraId="75EC8794" w14:textId="77777777" w:rsidR="00813871" w:rsidRDefault="00813871">
      <w:pPr>
        <w:rPr>
          <w:rFonts w:ascii="Josefin Sans" w:hAnsi="Josefin Sans"/>
          <w:color w:val="AE2C8E"/>
          <w:sz w:val="32"/>
          <w:szCs w:val="32"/>
        </w:rPr>
      </w:pPr>
    </w:p>
    <w:p w14:paraId="1EB217B9" w14:textId="77777777" w:rsidR="00813871" w:rsidRDefault="00813871">
      <w:pPr>
        <w:rPr>
          <w:rFonts w:ascii="Josefin Sans" w:hAnsi="Josefin Sans"/>
          <w:color w:val="AE2C8E"/>
          <w:sz w:val="32"/>
          <w:szCs w:val="32"/>
        </w:rPr>
      </w:pPr>
    </w:p>
    <w:p w14:paraId="2395B4FB" w14:textId="77777777" w:rsidR="00813871" w:rsidRDefault="00813871">
      <w:pPr>
        <w:rPr>
          <w:rFonts w:ascii="Josefin Sans" w:hAnsi="Josefin Sans"/>
          <w:color w:val="AE2C8E"/>
          <w:sz w:val="32"/>
          <w:szCs w:val="32"/>
        </w:rPr>
        <w:sectPr w:rsidR="00813871" w:rsidSect="008A1C99">
          <w:pgSz w:w="12240" w:h="15840"/>
          <w:pgMar w:top="720" w:right="720" w:bottom="720" w:left="720" w:header="708" w:footer="708" w:gutter="0"/>
          <w:cols w:space="708"/>
          <w:docGrid w:linePitch="360"/>
        </w:sectPr>
      </w:pPr>
    </w:p>
    <w:p w14:paraId="68ADD2C6" w14:textId="77777777" w:rsidR="00813871" w:rsidRDefault="00813871">
      <w:pPr>
        <w:rPr>
          <w:rFonts w:ascii="Josefin Sans" w:hAnsi="Josefin Sans"/>
          <w:color w:val="AE2C8E"/>
          <w:sz w:val="32"/>
          <w:szCs w:val="32"/>
        </w:rPr>
      </w:pPr>
    </w:p>
    <w:p w14:paraId="2E7BA3B2" w14:textId="77777777" w:rsidR="00013CBC" w:rsidRDefault="00013CBC">
      <w:pPr>
        <w:rPr>
          <w:rFonts w:ascii="Josefin Sans" w:hAnsi="Josefin Sans"/>
          <w:color w:val="AE2C8E"/>
          <w:sz w:val="32"/>
          <w:szCs w:val="32"/>
        </w:rPr>
        <w:sectPr w:rsidR="00013CBC" w:rsidSect="00813871">
          <w:type w:val="continuous"/>
          <w:pgSz w:w="12240" w:h="15840"/>
          <w:pgMar w:top="720" w:right="720" w:bottom="720" w:left="720" w:header="708" w:footer="708" w:gutter="0"/>
          <w:cols w:num="2" w:sep="1" w:space="710"/>
          <w:docGrid w:linePitch="360"/>
        </w:sectPr>
      </w:pPr>
    </w:p>
    <w:p w14:paraId="2839651E" w14:textId="77777777" w:rsidR="00992F52" w:rsidRDefault="00992F52">
      <w:pPr>
        <w:rPr>
          <w:rFonts w:ascii="Josefin Sans" w:hAnsi="Josefin Sans"/>
          <w:color w:val="AE2C8E"/>
          <w:sz w:val="32"/>
          <w:szCs w:val="32"/>
        </w:rPr>
      </w:pPr>
    </w:p>
    <w:p w14:paraId="4D1B697D" w14:textId="77777777" w:rsidR="0003795D" w:rsidRDefault="0003795D">
      <w:pPr>
        <w:rPr>
          <w:rFonts w:ascii="Josefin Sans" w:hAnsi="Josefin Sans"/>
          <w:color w:val="AE2C8E"/>
          <w:sz w:val="32"/>
          <w:szCs w:val="32"/>
        </w:rPr>
      </w:pPr>
    </w:p>
    <w:p w14:paraId="46ABF8E9" w14:textId="77777777" w:rsidR="0003795D" w:rsidRDefault="0003795D">
      <w:pPr>
        <w:rPr>
          <w:rFonts w:ascii="Josefin Sans" w:hAnsi="Josefin Sans"/>
          <w:color w:val="AE2C8E"/>
          <w:sz w:val="32"/>
          <w:szCs w:val="32"/>
        </w:rPr>
      </w:pPr>
    </w:p>
    <w:p w14:paraId="737EA0F3" w14:textId="2FAACDF5" w:rsidR="000774A0" w:rsidRDefault="000774A0">
      <w:pPr>
        <w:rPr>
          <w:rFonts w:ascii="Josefin Sans" w:hAnsi="Josefin Sans"/>
          <w:color w:val="AE2C8E"/>
          <w:sz w:val="32"/>
          <w:szCs w:val="32"/>
        </w:rPr>
      </w:pPr>
      <w:r w:rsidRPr="000774A0">
        <w:rPr>
          <w:rFonts w:ascii="Josefin Sans" w:hAnsi="Josefin Sans"/>
          <w:color w:val="AE2C8E"/>
          <w:sz w:val="32"/>
          <w:szCs w:val="32"/>
        </w:rPr>
        <w:t>TRUST</w:t>
      </w:r>
    </w:p>
    <w:p w14:paraId="70A0B67C" w14:textId="77777777" w:rsidR="000774A0" w:rsidRDefault="000774A0">
      <w:pPr>
        <w:rPr>
          <w:rFonts w:ascii="Josefin Sans" w:hAnsi="Josefin Sans"/>
        </w:rPr>
      </w:pPr>
    </w:p>
    <w:p w14:paraId="08DE2093" w14:textId="77777777" w:rsidR="000774A0" w:rsidRDefault="000774A0" w:rsidP="000774A0">
      <w:pPr>
        <w:pStyle w:val="ListParagraph"/>
        <w:numPr>
          <w:ilvl w:val="0"/>
          <w:numId w:val="1"/>
        </w:numPr>
      </w:pPr>
      <w:r>
        <w:t>Are you asking for feedback? When you receive it, how will you action it?</w:t>
      </w:r>
    </w:p>
    <w:p w14:paraId="4C946AD6" w14:textId="77777777" w:rsidR="000774A0" w:rsidRDefault="000774A0" w:rsidP="000774A0">
      <w:pPr>
        <w:pStyle w:val="ListParagraph"/>
        <w:numPr>
          <w:ilvl w:val="0"/>
          <w:numId w:val="1"/>
        </w:numPr>
      </w:pPr>
      <w:r>
        <w:t>What can you do to make your process transparent for all team members?</w:t>
      </w:r>
    </w:p>
    <w:p w14:paraId="74D37FDC" w14:textId="77777777" w:rsidR="000774A0" w:rsidRDefault="000774A0" w:rsidP="000774A0">
      <w:pPr>
        <w:pStyle w:val="ListParagraph"/>
        <w:numPr>
          <w:ilvl w:val="0"/>
          <w:numId w:val="1"/>
        </w:numPr>
      </w:pPr>
      <w:r>
        <w:t>How will you meet knowledge holders and users’ own priorities?</w:t>
      </w:r>
    </w:p>
    <w:p w14:paraId="7B15B795" w14:textId="77777777" w:rsidR="000774A0" w:rsidRPr="000774A0" w:rsidRDefault="000774A0" w:rsidP="000774A0">
      <w:pPr>
        <w:pStyle w:val="ListParagraph"/>
        <w:numPr>
          <w:ilvl w:val="0"/>
          <w:numId w:val="1"/>
        </w:numPr>
        <w:rPr>
          <w:rFonts w:ascii="Josefin Sans" w:hAnsi="Josefin Sans"/>
        </w:rPr>
      </w:pPr>
      <w:r>
        <w:t>Do you have structures/processes in place to receive input and share information? What are they?</w:t>
      </w:r>
    </w:p>
    <w:p w14:paraId="0B013456" w14:textId="77777777" w:rsidR="000A35B0" w:rsidRDefault="000A35B0" w:rsidP="000A35B0">
      <w:pPr>
        <w:pStyle w:val="Subtitle"/>
      </w:pPr>
    </w:p>
    <w:p w14:paraId="7F238532" w14:textId="5621300E" w:rsidR="00DB2549" w:rsidRPr="00DB2549" w:rsidRDefault="00DB2549" w:rsidP="00DB2549">
      <w:r>
        <w:t>Reflections:</w:t>
      </w:r>
    </w:p>
    <w:tbl>
      <w:tblPr>
        <w:tblStyle w:val="TableGrid"/>
        <w:tblW w:w="0" w:type="auto"/>
        <w:tblLook w:val="04A0" w:firstRow="1" w:lastRow="0" w:firstColumn="1" w:lastColumn="0" w:noHBand="0" w:noVBand="1"/>
      </w:tblPr>
      <w:tblGrid>
        <w:gridCol w:w="10790"/>
      </w:tblGrid>
      <w:tr w:rsidR="00DB2549" w14:paraId="13B5F556" w14:textId="77777777" w:rsidTr="0061367A">
        <w:trPr>
          <w:trHeight w:val="1253"/>
        </w:trPr>
        <w:tc>
          <w:tcPr>
            <w:tcW w:w="10790" w:type="dxa"/>
          </w:tcPr>
          <w:p w14:paraId="0BBF6D4C" w14:textId="77777777" w:rsidR="00DB2549" w:rsidRDefault="00DB2549" w:rsidP="00DB2549">
            <w:pPr>
              <w:rPr>
                <w:color w:val="A6A6A6" w:themeColor="background1" w:themeShade="A6"/>
              </w:rPr>
            </w:pPr>
          </w:p>
          <w:p w14:paraId="2B4F13C3" w14:textId="27CA9922" w:rsidR="00DB2549" w:rsidRDefault="00DB2549" w:rsidP="00DB2549"/>
        </w:tc>
      </w:tr>
    </w:tbl>
    <w:p w14:paraId="41099F18" w14:textId="77777777" w:rsidR="00DB2549" w:rsidRPr="00DB2549" w:rsidRDefault="00DB2549" w:rsidP="00DB2549"/>
    <w:p w14:paraId="1F5ADC43" w14:textId="77777777" w:rsidR="000C53C0" w:rsidRPr="000C53C0" w:rsidRDefault="000C53C0" w:rsidP="000C53C0"/>
    <w:p w14:paraId="7B30A5B0" w14:textId="724CE52F" w:rsidR="000A35B0" w:rsidRPr="000A35B0" w:rsidRDefault="000A35B0" w:rsidP="000A35B0">
      <w:pPr>
        <w:rPr>
          <w:rFonts w:ascii="Josefin Sans" w:hAnsi="Josefin Sans"/>
          <w:color w:val="AE2C8E"/>
          <w:sz w:val="32"/>
          <w:szCs w:val="32"/>
        </w:rPr>
      </w:pPr>
      <w:r w:rsidRPr="000A35B0">
        <w:rPr>
          <w:rFonts w:ascii="Josefin Sans" w:hAnsi="Josefin Sans"/>
          <w:color w:val="AE2C8E"/>
          <w:sz w:val="32"/>
          <w:szCs w:val="32"/>
        </w:rPr>
        <w:t>TIME</w:t>
      </w:r>
    </w:p>
    <w:p w14:paraId="0A843DFC" w14:textId="77777777" w:rsidR="000A35B0" w:rsidRDefault="000A35B0" w:rsidP="000A35B0"/>
    <w:p w14:paraId="108E2DA3" w14:textId="77777777" w:rsidR="000A35B0" w:rsidRDefault="000A35B0" w:rsidP="000A35B0">
      <w:pPr>
        <w:pStyle w:val="ListParagraph"/>
        <w:numPr>
          <w:ilvl w:val="0"/>
          <w:numId w:val="1"/>
        </w:numPr>
      </w:pPr>
      <w:r>
        <w:t>Have you built time into your research process to build and strengthen relationships with knowledge holders and users?</w:t>
      </w:r>
    </w:p>
    <w:p w14:paraId="39799172" w14:textId="77777777" w:rsidR="000A35B0" w:rsidRDefault="000A35B0" w:rsidP="000A35B0">
      <w:pPr>
        <w:pStyle w:val="ListParagraph"/>
        <w:numPr>
          <w:ilvl w:val="0"/>
          <w:numId w:val="1"/>
        </w:numPr>
      </w:pPr>
      <w:r>
        <w:t>Are you prepared to change your timeline to respond to knowledge holders and users?</w:t>
      </w:r>
    </w:p>
    <w:p w14:paraId="07CD83FB" w14:textId="77777777" w:rsidR="000A35B0" w:rsidRDefault="000A35B0" w:rsidP="000A35B0">
      <w:pPr>
        <w:pStyle w:val="ListParagraph"/>
        <w:numPr>
          <w:ilvl w:val="0"/>
          <w:numId w:val="1"/>
        </w:numPr>
      </w:pPr>
      <w:r>
        <w:t>Are you engaging knowledge holders and users early—in identifying research priorities and the development of your research questions?</w:t>
      </w:r>
    </w:p>
    <w:p w14:paraId="026779BC" w14:textId="77777777" w:rsidR="00DB2549" w:rsidRDefault="00DB2549" w:rsidP="00DB2549">
      <w:pPr>
        <w:pStyle w:val="Subtitle"/>
      </w:pPr>
    </w:p>
    <w:p w14:paraId="56B5D7D8" w14:textId="77777777" w:rsidR="00DB2549" w:rsidRPr="00DB2549" w:rsidRDefault="00DB2549" w:rsidP="00DB2549">
      <w:r>
        <w:t>Reflections:</w:t>
      </w:r>
    </w:p>
    <w:tbl>
      <w:tblPr>
        <w:tblStyle w:val="TableGrid"/>
        <w:tblW w:w="0" w:type="auto"/>
        <w:tblLook w:val="04A0" w:firstRow="1" w:lastRow="0" w:firstColumn="1" w:lastColumn="0" w:noHBand="0" w:noVBand="1"/>
      </w:tblPr>
      <w:tblGrid>
        <w:gridCol w:w="10790"/>
      </w:tblGrid>
      <w:tr w:rsidR="00DB2549" w14:paraId="47D26414" w14:textId="77777777" w:rsidTr="0061367A">
        <w:trPr>
          <w:trHeight w:val="1253"/>
        </w:trPr>
        <w:tc>
          <w:tcPr>
            <w:tcW w:w="10790" w:type="dxa"/>
          </w:tcPr>
          <w:p w14:paraId="19265C4E" w14:textId="77777777" w:rsidR="00DB2549" w:rsidRDefault="00DB2549" w:rsidP="005F523A">
            <w:pPr>
              <w:rPr>
                <w:color w:val="A6A6A6" w:themeColor="background1" w:themeShade="A6"/>
              </w:rPr>
            </w:pPr>
          </w:p>
          <w:p w14:paraId="6FAFD6DA" w14:textId="77777777" w:rsidR="00DB2549" w:rsidRDefault="00DB2549" w:rsidP="005F523A"/>
        </w:tc>
      </w:tr>
    </w:tbl>
    <w:p w14:paraId="33BA053B" w14:textId="77777777" w:rsidR="00DB2549" w:rsidRPr="00F80C2B" w:rsidRDefault="00DB2549" w:rsidP="00DB2549"/>
    <w:p w14:paraId="1E6B76E2" w14:textId="77777777" w:rsidR="00992F52" w:rsidRDefault="00992F52" w:rsidP="003C1D04"/>
    <w:p w14:paraId="2D225D20" w14:textId="4ABEC27E" w:rsidR="003C1D04" w:rsidRPr="003C1D04" w:rsidRDefault="003C1D04" w:rsidP="003C1D04">
      <w:pPr>
        <w:rPr>
          <w:rFonts w:ascii="Josefin Sans" w:hAnsi="Josefin Sans"/>
          <w:color w:val="AE2C8E"/>
          <w:sz w:val="32"/>
          <w:szCs w:val="32"/>
        </w:rPr>
      </w:pPr>
      <w:r w:rsidRPr="003C1D04">
        <w:rPr>
          <w:rFonts w:ascii="Josefin Sans" w:hAnsi="Josefin Sans"/>
          <w:color w:val="AE2C8E"/>
          <w:sz w:val="32"/>
          <w:szCs w:val="32"/>
        </w:rPr>
        <w:t>FLEXIBILITY AND ADAPTABILITY</w:t>
      </w:r>
    </w:p>
    <w:p w14:paraId="2F3FC3A4" w14:textId="77777777" w:rsidR="003C1D04" w:rsidRDefault="003C1D04" w:rsidP="003C1D04"/>
    <w:p w14:paraId="3E4DF810" w14:textId="77777777" w:rsidR="003C1D04" w:rsidRDefault="003C1D04" w:rsidP="003C1D04">
      <w:pPr>
        <w:pStyle w:val="ListParagraph"/>
        <w:numPr>
          <w:ilvl w:val="0"/>
          <w:numId w:val="1"/>
        </w:numPr>
      </w:pPr>
      <w:r>
        <w:t>Are you prepared to change your process/intervention/goals based on feedback from knowledge holders and users?</w:t>
      </w:r>
    </w:p>
    <w:p w14:paraId="50324644" w14:textId="77777777" w:rsidR="003C1D04" w:rsidRDefault="003C1D04" w:rsidP="003C1D04">
      <w:pPr>
        <w:pStyle w:val="ListParagraph"/>
        <w:numPr>
          <w:ilvl w:val="0"/>
          <w:numId w:val="1"/>
        </w:numPr>
      </w:pPr>
      <w:r>
        <w:t>How will you overcome challenges to meaningful, reciprocal engagement posed by institutions/funders/ethics boards?</w:t>
      </w:r>
    </w:p>
    <w:p w14:paraId="52D8149C" w14:textId="77777777" w:rsidR="00B16157" w:rsidRDefault="00B16157" w:rsidP="00B16157">
      <w:pPr>
        <w:pStyle w:val="Subtitle"/>
      </w:pPr>
    </w:p>
    <w:p w14:paraId="469B997C" w14:textId="77777777" w:rsidR="00B16157" w:rsidRPr="00DB2549" w:rsidRDefault="00B16157" w:rsidP="00B16157">
      <w:r>
        <w:t>Reflections:</w:t>
      </w:r>
    </w:p>
    <w:tbl>
      <w:tblPr>
        <w:tblStyle w:val="TableGrid"/>
        <w:tblW w:w="0" w:type="auto"/>
        <w:tblLook w:val="04A0" w:firstRow="1" w:lastRow="0" w:firstColumn="1" w:lastColumn="0" w:noHBand="0" w:noVBand="1"/>
      </w:tblPr>
      <w:tblGrid>
        <w:gridCol w:w="10790"/>
      </w:tblGrid>
      <w:tr w:rsidR="00B16157" w14:paraId="3F56D528" w14:textId="77777777" w:rsidTr="0061367A">
        <w:trPr>
          <w:trHeight w:val="1253"/>
        </w:trPr>
        <w:tc>
          <w:tcPr>
            <w:tcW w:w="10790" w:type="dxa"/>
          </w:tcPr>
          <w:p w14:paraId="5A5C0AB4" w14:textId="77777777" w:rsidR="00B16157" w:rsidRDefault="00B16157" w:rsidP="005F523A">
            <w:pPr>
              <w:rPr>
                <w:color w:val="A6A6A6" w:themeColor="background1" w:themeShade="A6"/>
              </w:rPr>
            </w:pPr>
          </w:p>
          <w:p w14:paraId="1813815F" w14:textId="77777777" w:rsidR="00B16157" w:rsidRDefault="00B16157" w:rsidP="005F523A"/>
        </w:tc>
      </w:tr>
    </w:tbl>
    <w:p w14:paraId="7C4039DE" w14:textId="77777777" w:rsidR="003C1D04" w:rsidRDefault="003C1D04" w:rsidP="000774A0"/>
    <w:p w14:paraId="1C7D7D3D" w14:textId="77777777" w:rsidR="000C53C0" w:rsidRDefault="000C53C0" w:rsidP="000774A0"/>
    <w:p w14:paraId="6863C2FE" w14:textId="77777777" w:rsidR="00150B68" w:rsidRDefault="00150B68" w:rsidP="000774A0"/>
    <w:p w14:paraId="56632A7F" w14:textId="013C297D" w:rsidR="007F062B" w:rsidRDefault="007F062B" w:rsidP="007F062B">
      <w:pPr>
        <w:rPr>
          <w:rFonts w:ascii="Josefin Sans" w:hAnsi="Josefin Sans"/>
          <w:color w:val="AE2C8E"/>
          <w:sz w:val="32"/>
          <w:szCs w:val="32"/>
        </w:rPr>
      </w:pPr>
      <w:r w:rsidRPr="007F062B">
        <w:rPr>
          <w:rFonts w:ascii="Josefin Sans" w:hAnsi="Josefin Sans"/>
          <w:color w:val="AE2C8E"/>
          <w:sz w:val="32"/>
          <w:szCs w:val="32"/>
        </w:rPr>
        <w:lastRenderedPageBreak/>
        <w:t>COLLABORATION</w:t>
      </w:r>
    </w:p>
    <w:p w14:paraId="35623DE7" w14:textId="77777777" w:rsidR="007F062B" w:rsidRDefault="007F062B" w:rsidP="007F062B"/>
    <w:p w14:paraId="14ED92C0" w14:textId="77777777" w:rsidR="007F062B" w:rsidRDefault="007F062B" w:rsidP="007F062B">
      <w:pPr>
        <w:pStyle w:val="ListParagraph"/>
        <w:numPr>
          <w:ilvl w:val="0"/>
          <w:numId w:val="1"/>
        </w:numPr>
      </w:pPr>
      <w:r>
        <w:t>How will you keep all members of your team engaged throughout the research process?</w:t>
      </w:r>
    </w:p>
    <w:p w14:paraId="79237C54" w14:textId="77777777" w:rsidR="007F062B" w:rsidRDefault="007F062B" w:rsidP="007F062B">
      <w:pPr>
        <w:pStyle w:val="ListParagraph"/>
        <w:numPr>
          <w:ilvl w:val="0"/>
          <w:numId w:val="1"/>
        </w:numPr>
      </w:pPr>
      <w:r>
        <w:t xml:space="preserve">Who in your own network can help you make contacts to build relationships? </w:t>
      </w:r>
    </w:p>
    <w:p w14:paraId="3287E0A2" w14:textId="75C5707D" w:rsidR="008F522D" w:rsidRDefault="008F522D" w:rsidP="007F062B">
      <w:pPr>
        <w:pStyle w:val="ListParagraph"/>
        <w:numPr>
          <w:ilvl w:val="0"/>
          <w:numId w:val="1"/>
        </w:numPr>
      </w:pPr>
      <w:r w:rsidRPr="008F522D">
        <w:t>What does “collaboration” mean to team members and partners. Does everyone have a shared understanding of what the collaboration will entail.</w:t>
      </w:r>
    </w:p>
    <w:p w14:paraId="76C2C971" w14:textId="77777777" w:rsidR="00B46E4C" w:rsidRDefault="00B46E4C" w:rsidP="00B46E4C">
      <w:pPr>
        <w:pStyle w:val="Subtitle"/>
      </w:pPr>
    </w:p>
    <w:p w14:paraId="29B6E113" w14:textId="77777777" w:rsidR="00B46E4C" w:rsidRPr="00DB2549" w:rsidRDefault="00B46E4C" w:rsidP="00B46E4C">
      <w:r>
        <w:t>Reflections:</w:t>
      </w:r>
    </w:p>
    <w:tbl>
      <w:tblPr>
        <w:tblStyle w:val="TableGrid"/>
        <w:tblW w:w="0" w:type="auto"/>
        <w:tblLook w:val="04A0" w:firstRow="1" w:lastRow="0" w:firstColumn="1" w:lastColumn="0" w:noHBand="0" w:noVBand="1"/>
      </w:tblPr>
      <w:tblGrid>
        <w:gridCol w:w="10790"/>
      </w:tblGrid>
      <w:tr w:rsidR="00B46E4C" w14:paraId="151BFEDB" w14:textId="77777777" w:rsidTr="0061367A">
        <w:trPr>
          <w:trHeight w:val="1253"/>
        </w:trPr>
        <w:tc>
          <w:tcPr>
            <w:tcW w:w="10790" w:type="dxa"/>
          </w:tcPr>
          <w:p w14:paraId="67E55477" w14:textId="77777777" w:rsidR="00B46E4C" w:rsidRDefault="00B46E4C" w:rsidP="005F523A">
            <w:pPr>
              <w:rPr>
                <w:color w:val="A6A6A6" w:themeColor="background1" w:themeShade="A6"/>
              </w:rPr>
            </w:pPr>
          </w:p>
          <w:p w14:paraId="63E64CC5" w14:textId="77777777" w:rsidR="00B46E4C" w:rsidRDefault="00B46E4C" w:rsidP="005F523A"/>
        </w:tc>
      </w:tr>
    </w:tbl>
    <w:p w14:paraId="5843BEED" w14:textId="77777777" w:rsidR="00B46E4C" w:rsidRPr="00B46E4C" w:rsidRDefault="00B46E4C" w:rsidP="00B46E4C">
      <w:pPr>
        <w:rPr>
          <w:rFonts w:ascii="Josefin Sans" w:hAnsi="Josefin Sans"/>
          <w:sz w:val="32"/>
          <w:szCs w:val="32"/>
        </w:rPr>
        <w:sectPr w:rsidR="00B46E4C" w:rsidRPr="00B46E4C" w:rsidSect="00BA09F7">
          <w:type w:val="continuous"/>
          <w:pgSz w:w="12240" w:h="15840"/>
          <w:pgMar w:top="720" w:right="720" w:bottom="720" w:left="720" w:header="708" w:footer="708" w:gutter="0"/>
          <w:cols w:sep="1" w:space="720"/>
          <w:docGrid w:linePitch="360"/>
        </w:sectPr>
      </w:pPr>
    </w:p>
    <w:p w14:paraId="24571ABB" w14:textId="77777777" w:rsidR="000C53C0" w:rsidRDefault="000C53C0" w:rsidP="00725ED5">
      <w:pPr>
        <w:rPr>
          <w:rFonts w:ascii="Josefin Sans" w:hAnsi="Josefin Sans"/>
          <w:color w:val="AE2C8E"/>
          <w:sz w:val="32"/>
          <w:szCs w:val="32"/>
        </w:rPr>
        <w:sectPr w:rsidR="000C53C0" w:rsidSect="00BA09F7">
          <w:type w:val="continuous"/>
          <w:pgSz w:w="12240" w:h="15840"/>
          <w:pgMar w:top="720" w:right="720" w:bottom="720" w:left="720" w:header="708" w:footer="708" w:gutter="0"/>
          <w:cols w:sep="1" w:space="720"/>
          <w:docGrid w:linePitch="360"/>
        </w:sectPr>
      </w:pPr>
    </w:p>
    <w:p w14:paraId="2D3FD3F9" w14:textId="680CA3BB" w:rsidR="00725ED5" w:rsidRPr="00725ED5" w:rsidRDefault="00725ED5" w:rsidP="00725ED5">
      <w:pPr>
        <w:rPr>
          <w:rFonts w:ascii="Josefin Sans" w:hAnsi="Josefin Sans"/>
          <w:color w:val="AE2C8E"/>
          <w:sz w:val="32"/>
          <w:szCs w:val="32"/>
        </w:rPr>
      </w:pPr>
      <w:r w:rsidRPr="00725ED5">
        <w:rPr>
          <w:rFonts w:ascii="Josefin Sans" w:hAnsi="Josefin Sans"/>
          <w:color w:val="AE2C8E"/>
          <w:sz w:val="32"/>
          <w:szCs w:val="32"/>
        </w:rPr>
        <w:t>SUSTAINABILITY</w:t>
      </w:r>
    </w:p>
    <w:p w14:paraId="0CFB1574" w14:textId="77777777" w:rsidR="00725ED5" w:rsidRDefault="00725ED5" w:rsidP="00725ED5"/>
    <w:p w14:paraId="7ED92027" w14:textId="77777777" w:rsidR="00725ED5" w:rsidRDefault="00725ED5" w:rsidP="00725ED5">
      <w:pPr>
        <w:pStyle w:val="ListParagraph"/>
        <w:numPr>
          <w:ilvl w:val="0"/>
          <w:numId w:val="1"/>
        </w:numPr>
      </w:pPr>
      <w:r>
        <w:t>Who can act as a champion for your research beyond your funding period?</w:t>
      </w:r>
    </w:p>
    <w:p w14:paraId="6AB370CD" w14:textId="77777777" w:rsidR="00725ED5" w:rsidRDefault="00725ED5" w:rsidP="00725ED5">
      <w:pPr>
        <w:pStyle w:val="ListParagraph"/>
        <w:numPr>
          <w:ilvl w:val="0"/>
          <w:numId w:val="1"/>
        </w:numPr>
      </w:pPr>
      <w:r>
        <w:t xml:space="preserve">How can you build knowledge and skills of your research partners (community members, service providers, policymakers) during the research process so that they sustain momentum after the research ends? </w:t>
      </w:r>
    </w:p>
    <w:p w14:paraId="00FB5340" w14:textId="77777777" w:rsidR="00725ED5" w:rsidRDefault="00725ED5" w:rsidP="00725ED5">
      <w:pPr>
        <w:pStyle w:val="ListParagraph"/>
        <w:numPr>
          <w:ilvl w:val="0"/>
          <w:numId w:val="1"/>
        </w:numPr>
      </w:pPr>
      <w:r>
        <w:t>What steps can you take at each stage of the research process to support the sustainability of your research outcomes?</w:t>
      </w:r>
    </w:p>
    <w:p w14:paraId="44B56B82" w14:textId="77777777" w:rsidR="00725ED5" w:rsidRDefault="00725ED5" w:rsidP="00725ED5">
      <w:pPr>
        <w:pStyle w:val="ListParagraph"/>
        <w:numPr>
          <w:ilvl w:val="0"/>
          <w:numId w:val="1"/>
        </w:numPr>
      </w:pPr>
      <w:r>
        <w:t xml:space="preserve">How will you sustain the relationships created through this research beyond the project? This may not be possible or desirable for you. But it is important to consider it and to communicate about with your partners so that expectations are clear. </w:t>
      </w:r>
    </w:p>
    <w:p w14:paraId="47F23AE3" w14:textId="77777777" w:rsidR="00B16157" w:rsidRDefault="00B16157" w:rsidP="00B16157">
      <w:pPr>
        <w:pStyle w:val="Subtitle"/>
      </w:pPr>
    </w:p>
    <w:p w14:paraId="32C9FD45" w14:textId="77777777" w:rsidR="00B16157" w:rsidRPr="00DB2549" w:rsidRDefault="00B16157" w:rsidP="00B16157">
      <w:r>
        <w:t>Reflections:</w:t>
      </w:r>
    </w:p>
    <w:tbl>
      <w:tblPr>
        <w:tblStyle w:val="TableGrid"/>
        <w:tblW w:w="0" w:type="auto"/>
        <w:tblLook w:val="04A0" w:firstRow="1" w:lastRow="0" w:firstColumn="1" w:lastColumn="0" w:noHBand="0" w:noVBand="1"/>
      </w:tblPr>
      <w:tblGrid>
        <w:gridCol w:w="10790"/>
      </w:tblGrid>
      <w:tr w:rsidR="00B16157" w14:paraId="0AB81035" w14:textId="77777777" w:rsidTr="0061367A">
        <w:trPr>
          <w:trHeight w:val="1253"/>
        </w:trPr>
        <w:tc>
          <w:tcPr>
            <w:tcW w:w="10790" w:type="dxa"/>
          </w:tcPr>
          <w:p w14:paraId="0A05FBA3" w14:textId="77777777" w:rsidR="00B16157" w:rsidRDefault="00B16157" w:rsidP="005F523A">
            <w:pPr>
              <w:rPr>
                <w:color w:val="A6A6A6" w:themeColor="background1" w:themeShade="A6"/>
              </w:rPr>
            </w:pPr>
          </w:p>
          <w:p w14:paraId="22935F34" w14:textId="77777777" w:rsidR="00B16157" w:rsidRDefault="00B16157" w:rsidP="005F523A"/>
        </w:tc>
      </w:tr>
    </w:tbl>
    <w:p w14:paraId="59542522" w14:textId="77777777" w:rsidR="005A4EFB" w:rsidRDefault="005A4EFB" w:rsidP="000774A0"/>
    <w:p w14:paraId="71905D6A" w14:textId="77777777" w:rsidR="006A4E0F" w:rsidRDefault="006A4E0F" w:rsidP="000774A0"/>
    <w:p w14:paraId="7B242AD3" w14:textId="77777777" w:rsidR="00390DC4" w:rsidRPr="006F5C9D" w:rsidRDefault="00390DC4" w:rsidP="006F5C9D">
      <w:pPr>
        <w:rPr>
          <w:rFonts w:ascii="Josefin Sans" w:hAnsi="Josefin Sans"/>
          <w:color w:val="AE2C8E"/>
          <w:sz w:val="32"/>
          <w:szCs w:val="32"/>
        </w:rPr>
      </w:pPr>
      <w:r w:rsidRPr="006F5C9D">
        <w:rPr>
          <w:rFonts w:ascii="Josefin Sans" w:hAnsi="Josefin Sans"/>
          <w:color w:val="AE2C8E"/>
          <w:sz w:val="32"/>
          <w:szCs w:val="32"/>
        </w:rPr>
        <w:t>RECIPROCITY</w:t>
      </w:r>
    </w:p>
    <w:p w14:paraId="452654A2" w14:textId="77777777" w:rsidR="006F5C9D" w:rsidRDefault="006F5C9D" w:rsidP="00390DC4"/>
    <w:p w14:paraId="52EA9279" w14:textId="77777777" w:rsidR="00390DC4" w:rsidRDefault="00390DC4" w:rsidP="00390DC4">
      <w:pPr>
        <w:pStyle w:val="ListParagraph"/>
        <w:numPr>
          <w:ilvl w:val="0"/>
          <w:numId w:val="1"/>
        </w:numPr>
      </w:pPr>
      <w:r>
        <w:t>How will you show up for knowledge holders and users? Are you building resources or other measures of reciprocity into your funding application (e.g., allocating funds for training or workshops, to pay knowledge holders and users, to support communications strategies)?</w:t>
      </w:r>
    </w:p>
    <w:p w14:paraId="0C021190" w14:textId="77777777" w:rsidR="00390DC4" w:rsidRDefault="00390DC4" w:rsidP="00390DC4">
      <w:pPr>
        <w:pStyle w:val="ListParagraph"/>
        <w:numPr>
          <w:ilvl w:val="0"/>
          <w:numId w:val="1"/>
        </w:numPr>
      </w:pPr>
      <w:r>
        <w:t>How often will you check in with knowledge holders and users to see if you are meeting their needs?</w:t>
      </w:r>
    </w:p>
    <w:p w14:paraId="0CAA243D" w14:textId="0AAFDA48" w:rsidR="00247C15" w:rsidRDefault="00390DC4" w:rsidP="00E2134A">
      <w:pPr>
        <w:pStyle w:val="ListParagraph"/>
        <w:numPr>
          <w:ilvl w:val="1"/>
          <w:numId w:val="1"/>
        </w:numPr>
      </w:pPr>
      <w:r>
        <w:t xml:space="preserve">What steps will you take to support them if their needs are beyond your expertise/the objectives of your research/the funds you have for this project? </w:t>
      </w:r>
    </w:p>
    <w:p w14:paraId="6E0CD080" w14:textId="77777777" w:rsidR="00B46E4C" w:rsidRDefault="00B46E4C" w:rsidP="00B46E4C">
      <w:pPr>
        <w:pStyle w:val="Subtitle"/>
      </w:pPr>
    </w:p>
    <w:tbl>
      <w:tblPr>
        <w:tblStyle w:val="TableGrid"/>
        <w:tblpPr w:leftFromText="180" w:rightFromText="180" w:vertAnchor="text" w:horzAnchor="margin" w:tblpY="630"/>
        <w:tblW w:w="0" w:type="auto"/>
        <w:tblLook w:val="04A0" w:firstRow="1" w:lastRow="0" w:firstColumn="1" w:lastColumn="0" w:noHBand="0" w:noVBand="1"/>
      </w:tblPr>
      <w:tblGrid>
        <w:gridCol w:w="10790"/>
      </w:tblGrid>
      <w:tr w:rsidR="00FB1786" w14:paraId="5F6BE385" w14:textId="77777777" w:rsidTr="00FB1786">
        <w:trPr>
          <w:trHeight w:val="1253"/>
        </w:trPr>
        <w:tc>
          <w:tcPr>
            <w:tcW w:w="10790" w:type="dxa"/>
          </w:tcPr>
          <w:p w14:paraId="2B9A9F5A" w14:textId="77777777" w:rsidR="00FB1786" w:rsidRDefault="00FB1786" w:rsidP="00FB1786">
            <w:pPr>
              <w:rPr>
                <w:color w:val="A6A6A6" w:themeColor="background1" w:themeShade="A6"/>
              </w:rPr>
            </w:pPr>
          </w:p>
          <w:p w14:paraId="65E00D52" w14:textId="77777777" w:rsidR="00FB1786" w:rsidRDefault="00FB1786" w:rsidP="00FB1786"/>
        </w:tc>
      </w:tr>
    </w:tbl>
    <w:p w14:paraId="7CA7C07F" w14:textId="0B20AAA7" w:rsidR="00B46E4C" w:rsidRPr="00DB2549" w:rsidRDefault="00B46E4C" w:rsidP="00B46E4C">
      <w:r>
        <w:t>Reflections:</w:t>
      </w:r>
    </w:p>
    <w:p w14:paraId="35A739DE" w14:textId="77777777" w:rsidR="005A4EFB" w:rsidRDefault="005A4EFB" w:rsidP="006F5C9D"/>
    <w:p w14:paraId="731F98AE" w14:textId="77777777" w:rsidR="00150B68" w:rsidRDefault="00150B68" w:rsidP="009D45D3">
      <w:pPr>
        <w:rPr>
          <w:rFonts w:ascii="Josefin Sans" w:hAnsi="Josefin Sans"/>
          <w:color w:val="AE2C8E"/>
          <w:sz w:val="32"/>
          <w:szCs w:val="32"/>
        </w:rPr>
      </w:pPr>
    </w:p>
    <w:p w14:paraId="6166B2DD" w14:textId="77777777" w:rsidR="00150B68" w:rsidRDefault="00150B68" w:rsidP="009D45D3">
      <w:pPr>
        <w:rPr>
          <w:rFonts w:ascii="Josefin Sans" w:hAnsi="Josefin Sans"/>
          <w:color w:val="AE2C8E"/>
          <w:sz w:val="32"/>
          <w:szCs w:val="32"/>
        </w:rPr>
      </w:pPr>
    </w:p>
    <w:p w14:paraId="61A63F50" w14:textId="1E31390F" w:rsidR="009D45D3" w:rsidRPr="0035392E" w:rsidRDefault="00390DC4" w:rsidP="009D45D3">
      <w:pPr>
        <w:rPr>
          <w:rFonts w:ascii="Josefin Sans" w:hAnsi="Josefin Sans"/>
          <w:color w:val="AE2C8E"/>
          <w:sz w:val="32"/>
          <w:szCs w:val="32"/>
        </w:rPr>
      </w:pPr>
      <w:r w:rsidRPr="0096174A">
        <w:rPr>
          <w:rFonts w:ascii="Josefin Sans" w:hAnsi="Josefin Sans"/>
          <w:color w:val="AE2C8E"/>
          <w:sz w:val="32"/>
          <w:szCs w:val="32"/>
        </w:rPr>
        <w:t>ENGAGING WITH COMMUNITIES</w:t>
      </w:r>
    </w:p>
    <w:p w14:paraId="3DD89B5E" w14:textId="77777777" w:rsidR="00390DC4" w:rsidRDefault="00390DC4" w:rsidP="00390DC4"/>
    <w:p w14:paraId="39CD27C3" w14:textId="64D31A3B" w:rsidR="00390DC4" w:rsidRDefault="00390DC4" w:rsidP="00DD578C">
      <w:pPr>
        <w:pStyle w:val="ListParagraph"/>
        <w:numPr>
          <w:ilvl w:val="0"/>
          <w:numId w:val="2"/>
        </w:numPr>
      </w:pPr>
      <w:r>
        <w:t>Who are your community champions?</w:t>
      </w:r>
    </w:p>
    <w:p w14:paraId="0E7B29AD" w14:textId="11A23555" w:rsidR="00390DC4" w:rsidRDefault="00390DC4" w:rsidP="00DD578C">
      <w:pPr>
        <w:pStyle w:val="ListParagraph"/>
        <w:numPr>
          <w:ilvl w:val="0"/>
          <w:numId w:val="2"/>
        </w:numPr>
      </w:pPr>
      <w:r>
        <w:t>What needs has your community identified, and how do they align with your research question(s) and goal(s)?</w:t>
      </w:r>
    </w:p>
    <w:p w14:paraId="25FA906A" w14:textId="0B44B60E" w:rsidR="00390DC4" w:rsidRDefault="00390DC4" w:rsidP="00DD578C">
      <w:pPr>
        <w:pStyle w:val="ListParagraph"/>
        <w:numPr>
          <w:ilvl w:val="1"/>
          <w:numId w:val="2"/>
        </w:numPr>
      </w:pPr>
      <w:r>
        <w:t>How do they envision end-of-grant (or project) dissemination/implementation?</w:t>
      </w:r>
    </w:p>
    <w:p w14:paraId="1882FFB0" w14:textId="16E4C6F0" w:rsidR="00390DC4" w:rsidRDefault="00390DC4" w:rsidP="00DD578C">
      <w:pPr>
        <w:pStyle w:val="ListParagraph"/>
        <w:numPr>
          <w:ilvl w:val="0"/>
          <w:numId w:val="2"/>
        </w:numPr>
      </w:pPr>
      <w:r>
        <w:t xml:space="preserve">What does success look like to the community? To other collaborators? </w:t>
      </w:r>
    </w:p>
    <w:p w14:paraId="7497B9DB" w14:textId="31DFF4B7" w:rsidR="00390DC4" w:rsidRDefault="00390DC4" w:rsidP="00DD578C">
      <w:pPr>
        <w:pStyle w:val="ListParagraph"/>
        <w:numPr>
          <w:ilvl w:val="1"/>
          <w:numId w:val="2"/>
        </w:numPr>
      </w:pPr>
      <w:r>
        <w:t>How will you define and measure this in your project?</w:t>
      </w:r>
    </w:p>
    <w:p w14:paraId="7BC20C3A" w14:textId="61B09C7C" w:rsidR="00390DC4" w:rsidRDefault="00390DC4" w:rsidP="00DD578C">
      <w:pPr>
        <w:pStyle w:val="ListParagraph"/>
        <w:numPr>
          <w:ilvl w:val="0"/>
          <w:numId w:val="2"/>
        </w:numPr>
      </w:pPr>
      <w:r>
        <w:t xml:space="preserve">How will you meet changes in community needs? </w:t>
      </w:r>
    </w:p>
    <w:p w14:paraId="5E5C0F12" w14:textId="4F701CD5" w:rsidR="00390DC4" w:rsidRDefault="00390DC4" w:rsidP="00DD578C">
      <w:pPr>
        <w:pStyle w:val="ListParagraph"/>
        <w:numPr>
          <w:ilvl w:val="0"/>
          <w:numId w:val="2"/>
        </w:numPr>
      </w:pPr>
      <w:r>
        <w:t>How can you support community members?</w:t>
      </w:r>
    </w:p>
    <w:p w14:paraId="0CBB0513" w14:textId="1B0F04C7" w:rsidR="00390DC4" w:rsidRDefault="00390DC4" w:rsidP="00DD578C">
      <w:pPr>
        <w:pStyle w:val="ListParagraph"/>
        <w:numPr>
          <w:ilvl w:val="0"/>
          <w:numId w:val="2"/>
        </w:numPr>
      </w:pPr>
      <w:r>
        <w:t>How would community members prefer to meet? To communicate?</w:t>
      </w:r>
    </w:p>
    <w:p w14:paraId="7DBE7414" w14:textId="2A370143" w:rsidR="00390DC4" w:rsidRDefault="00390DC4" w:rsidP="00DD578C">
      <w:pPr>
        <w:pStyle w:val="ListParagraph"/>
        <w:numPr>
          <w:ilvl w:val="0"/>
          <w:numId w:val="2"/>
        </w:numPr>
      </w:pPr>
      <w:r>
        <w:t>How can you create space for community members to engage with one another?</w:t>
      </w:r>
    </w:p>
    <w:p w14:paraId="0E781CBA" w14:textId="7F9058B9" w:rsidR="00390DC4" w:rsidRDefault="00390DC4" w:rsidP="00DD578C">
      <w:pPr>
        <w:pStyle w:val="ListParagraph"/>
        <w:numPr>
          <w:ilvl w:val="0"/>
          <w:numId w:val="2"/>
        </w:numPr>
      </w:pPr>
      <w:r>
        <w:t xml:space="preserve">Are you remaining open to challenging your own knowledge/beliefs? </w:t>
      </w:r>
    </w:p>
    <w:p w14:paraId="78BCC042" w14:textId="2D8E9D8E" w:rsidR="00C672A9" w:rsidRDefault="00390DC4" w:rsidP="0035392E">
      <w:pPr>
        <w:pStyle w:val="ListParagraph"/>
        <w:numPr>
          <w:ilvl w:val="0"/>
          <w:numId w:val="2"/>
        </w:numPr>
      </w:pPr>
      <w:r>
        <w:t>What systems/practices/agreements can you co-create to support reciprocity? Sustainability? Mutual respect and trust?</w:t>
      </w:r>
    </w:p>
    <w:p w14:paraId="5DCBE185" w14:textId="77777777" w:rsidR="00DD09F5" w:rsidRDefault="00DD09F5" w:rsidP="00DD09F5">
      <w:pPr>
        <w:pStyle w:val="Subtitle"/>
      </w:pPr>
    </w:p>
    <w:p w14:paraId="71979603" w14:textId="77777777" w:rsidR="00DD09F5" w:rsidRPr="00DB2549" w:rsidRDefault="00DD09F5" w:rsidP="00DD09F5">
      <w:r>
        <w:t>Reflections:</w:t>
      </w:r>
    </w:p>
    <w:tbl>
      <w:tblPr>
        <w:tblStyle w:val="TableGrid"/>
        <w:tblW w:w="0" w:type="auto"/>
        <w:tblLook w:val="04A0" w:firstRow="1" w:lastRow="0" w:firstColumn="1" w:lastColumn="0" w:noHBand="0" w:noVBand="1"/>
      </w:tblPr>
      <w:tblGrid>
        <w:gridCol w:w="10790"/>
      </w:tblGrid>
      <w:tr w:rsidR="00DD09F5" w14:paraId="743772DF" w14:textId="77777777" w:rsidTr="0061367A">
        <w:trPr>
          <w:trHeight w:val="1253"/>
        </w:trPr>
        <w:tc>
          <w:tcPr>
            <w:tcW w:w="10790" w:type="dxa"/>
          </w:tcPr>
          <w:p w14:paraId="5F62E41A" w14:textId="77777777" w:rsidR="00DD09F5" w:rsidRDefault="00DD09F5" w:rsidP="005F523A">
            <w:pPr>
              <w:rPr>
                <w:color w:val="A6A6A6" w:themeColor="background1" w:themeShade="A6"/>
              </w:rPr>
            </w:pPr>
          </w:p>
          <w:p w14:paraId="6FD5B2C0" w14:textId="77777777" w:rsidR="00DD09F5" w:rsidRDefault="00DD09F5" w:rsidP="005F523A"/>
        </w:tc>
      </w:tr>
    </w:tbl>
    <w:p w14:paraId="5519E751" w14:textId="77777777" w:rsidR="00DD09F5" w:rsidRDefault="00DD09F5" w:rsidP="00DD09F5"/>
    <w:p w14:paraId="150262CD" w14:textId="77777777" w:rsidR="0048001F" w:rsidRDefault="0048001F" w:rsidP="0035392E"/>
    <w:p w14:paraId="58DE68E9" w14:textId="77777777" w:rsidR="0048001F" w:rsidRPr="00EA2351" w:rsidRDefault="0048001F" w:rsidP="0048001F">
      <w:pPr>
        <w:rPr>
          <w:rFonts w:ascii="Josefin Sans" w:hAnsi="Josefin Sans"/>
          <w:color w:val="AE2C8E"/>
          <w:sz w:val="32"/>
          <w:szCs w:val="32"/>
        </w:rPr>
      </w:pPr>
      <w:r w:rsidRPr="00EA2351">
        <w:rPr>
          <w:rFonts w:ascii="Josefin Sans" w:hAnsi="Josefin Sans"/>
          <w:color w:val="AE2C8E"/>
          <w:sz w:val="32"/>
          <w:szCs w:val="32"/>
        </w:rPr>
        <w:t>ENGAGING WITH POLICYMAKERS</w:t>
      </w:r>
    </w:p>
    <w:p w14:paraId="676B96AC" w14:textId="77777777" w:rsidR="0048001F" w:rsidRDefault="0048001F" w:rsidP="0048001F"/>
    <w:p w14:paraId="25803122" w14:textId="77777777" w:rsidR="0048001F" w:rsidRDefault="0048001F" w:rsidP="0048001F">
      <w:pPr>
        <w:pStyle w:val="ListParagraph"/>
        <w:numPr>
          <w:ilvl w:val="0"/>
          <w:numId w:val="4"/>
        </w:numPr>
      </w:pPr>
      <w:r>
        <w:t xml:space="preserve">Who is responsible for the thematic area of your research? Who shares your goals? </w:t>
      </w:r>
    </w:p>
    <w:p w14:paraId="41E9A75D" w14:textId="77777777" w:rsidR="0048001F" w:rsidRDefault="0048001F" w:rsidP="0048001F">
      <w:pPr>
        <w:pStyle w:val="ListParagraph"/>
        <w:numPr>
          <w:ilvl w:val="0"/>
          <w:numId w:val="4"/>
        </w:numPr>
      </w:pPr>
      <w:r>
        <w:t xml:space="preserve">How can you demonstrate alignment between your research and the mandate, which includes objectives, strategies/values of the relevant policymaker(s) you hope to work with? These objectives and strategies are laid out in policy documents, and for government, Ministerial mandate letters. Reviewing stated policies and understanding how your work can be framed as a resource to help policymakers advance their objectives is a step to be taken before even meeting with policymakers to discuss your research and learn more about their current priorities. </w:t>
      </w:r>
    </w:p>
    <w:p w14:paraId="3BC67599" w14:textId="77777777" w:rsidR="0048001F" w:rsidRDefault="0048001F" w:rsidP="0048001F">
      <w:pPr>
        <w:pStyle w:val="ListParagraph"/>
        <w:numPr>
          <w:ilvl w:val="0"/>
          <w:numId w:val="4"/>
        </w:numPr>
      </w:pPr>
      <w:r>
        <w:t>What systems, services, academics, or other knowledge holders or users might benefit from or be interested in your research outcomes? How can their experiences and expertise contribute to this work? How can this work benefit them?</w:t>
      </w:r>
    </w:p>
    <w:p w14:paraId="479A4E1E" w14:textId="77777777" w:rsidR="0048001F" w:rsidRDefault="0048001F" w:rsidP="0048001F">
      <w:pPr>
        <w:pStyle w:val="ListParagraph"/>
        <w:numPr>
          <w:ilvl w:val="0"/>
          <w:numId w:val="4"/>
        </w:numPr>
      </w:pPr>
      <w:r>
        <w:t>Do you know how to communicate the intentions and importance of this work succinctly and in lay terms?</w:t>
      </w:r>
    </w:p>
    <w:p w14:paraId="05B39F15" w14:textId="77777777" w:rsidR="0048001F" w:rsidRDefault="0048001F" w:rsidP="0048001F">
      <w:pPr>
        <w:pStyle w:val="ListParagraph"/>
        <w:numPr>
          <w:ilvl w:val="0"/>
          <w:numId w:val="4"/>
        </w:numPr>
      </w:pPr>
      <w:r>
        <w:t>How can your own network help you make connections with policymakers?</w:t>
      </w:r>
    </w:p>
    <w:p w14:paraId="56EA955C" w14:textId="77777777" w:rsidR="0048001F" w:rsidRDefault="0048001F" w:rsidP="0048001F">
      <w:pPr>
        <w:pStyle w:val="ListParagraph"/>
        <w:numPr>
          <w:ilvl w:val="0"/>
          <w:numId w:val="4"/>
        </w:numPr>
      </w:pPr>
      <w:r>
        <w:t>Are you prepared to support policymakers with their own questions/requests</w:t>
      </w:r>
      <w:r w:rsidR="007D208C">
        <w:t xml:space="preserve"> and on their timelines</w:t>
      </w:r>
      <w:r>
        <w:t>?</w:t>
      </w:r>
    </w:p>
    <w:p w14:paraId="0E3ED046" w14:textId="77777777" w:rsidR="00DD09F5" w:rsidRDefault="00DD09F5" w:rsidP="00DD09F5">
      <w:pPr>
        <w:pStyle w:val="Subtitle"/>
      </w:pPr>
    </w:p>
    <w:p w14:paraId="45D4B23A" w14:textId="77777777" w:rsidR="00FB1786" w:rsidRDefault="00FB1786" w:rsidP="00DD09F5"/>
    <w:p w14:paraId="1AC8B944" w14:textId="456B7D73" w:rsidR="00DD09F5" w:rsidRPr="00DB2549" w:rsidRDefault="00DD09F5" w:rsidP="00DD09F5">
      <w:r>
        <w:t>Reflections:</w:t>
      </w:r>
    </w:p>
    <w:tbl>
      <w:tblPr>
        <w:tblStyle w:val="TableGrid"/>
        <w:tblW w:w="0" w:type="auto"/>
        <w:tblLook w:val="04A0" w:firstRow="1" w:lastRow="0" w:firstColumn="1" w:lastColumn="0" w:noHBand="0" w:noVBand="1"/>
      </w:tblPr>
      <w:tblGrid>
        <w:gridCol w:w="10790"/>
      </w:tblGrid>
      <w:tr w:rsidR="00DD09F5" w14:paraId="419E4B73" w14:textId="77777777" w:rsidTr="0061367A">
        <w:trPr>
          <w:trHeight w:val="1253"/>
        </w:trPr>
        <w:tc>
          <w:tcPr>
            <w:tcW w:w="10790" w:type="dxa"/>
          </w:tcPr>
          <w:p w14:paraId="21782326" w14:textId="77777777" w:rsidR="00DD09F5" w:rsidRDefault="00DD09F5" w:rsidP="005F523A">
            <w:pPr>
              <w:rPr>
                <w:color w:val="A6A6A6" w:themeColor="background1" w:themeShade="A6"/>
              </w:rPr>
            </w:pPr>
          </w:p>
          <w:p w14:paraId="18E91A2F" w14:textId="77777777" w:rsidR="00DD09F5" w:rsidRDefault="00DD09F5" w:rsidP="005F523A"/>
        </w:tc>
      </w:tr>
    </w:tbl>
    <w:p w14:paraId="3F00F208" w14:textId="77777777" w:rsidR="0048001F" w:rsidRDefault="0048001F" w:rsidP="0035392E"/>
    <w:p w14:paraId="3A474BC1" w14:textId="77777777" w:rsidR="0048001F" w:rsidRDefault="0048001F" w:rsidP="0035392E"/>
    <w:p w14:paraId="1061AD46" w14:textId="77777777" w:rsidR="00150B68" w:rsidRDefault="00150B68" w:rsidP="0035392E"/>
    <w:p w14:paraId="02A4DC78" w14:textId="77777777" w:rsidR="0048001F" w:rsidRDefault="0048001F" w:rsidP="0035392E"/>
    <w:p w14:paraId="69855AEF" w14:textId="0DCAE72A" w:rsidR="0035392E" w:rsidRDefault="0035392E" w:rsidP="0035392E">
      <w:pPr>
        <w:sectPr w:rsidR="0035392E" w:rsidSect="00BA09F7">
          <w:type w:val="continuous"/>
          <w:pgSz w:w="12240" w:h="15840"/>
          <w:pgMar w:top="720" w:right="720" w:bottom="720" w:left="720" w:header="708" w:footer="708" w:gutter="0"/>
          <w:cols w:sep="1" w:space="720"/>
          <w:docGrid w:linePitch="360"/>
        </w:sectPr>
      </w:pPr>
    </w:p>
    <w:p w14:paraId="5FD6BD8F" w14:textId="77777777" w:rsidR="00150B68" w:rsidRDefault="00150B68" w:rsidP="005F07D5">
      <w:pPr>
        <w:rPr>
          <w:rFonts w:ascii="Josefin Sans" w:hAnsi="Josefin Sans"/>
          <w:color w:val="AE2C8E"/>
          <w:sz w:val="32"/>
          <w:szCs w:val="32"/>
        </w:rPr>
      </w:pPr>
    </w:p>
    <w:p w14:paraId="683ACB9D" w14:textId="499E7AB8" w:rsidR="003C3658" w:rsidRPr="005F07D5" w:rsidRDefault="003C3658" w:rsidP="005F07D5">
      <w:pPr>
        <w:rPr>
          <w:sz w:val="32"/>
          <w:szCs w:val="32"/>
        </w:rPr>
      </w:pPr>
      <w:r w:rsidRPr="005F07D5">
        <w:rPr>
          <w:rFonts w:ascii="Josefin Sans" w:hAnsi="Josefin Sans"/>
          <w:color w:val="AE2C8E"/>
          <w:sz w:val="32"/>
          <w:szCs w:val="32"/>
        </w:rPr>
        <w:t>ADDITIONAL RECOMMENDED RESOURCES</w:t>
      </w:r>
    </w:p>
    <w:p w14:paraId="32A24231" w14:textId="77777777" w:rsidR="003C3658" w:rsidRDefault="003C3658" w:rsidP="00E2134A"/>
    <w:p w14:paraId="15D22AD2" w14:textId="77777777" w:rsidR="003C3658" w:rsidRPr="00390DC4" w:rsidRDefault="003C3658" w:rsidP="00E2134A">
      <w:pPr>
        <w:pStyle w:val="Heading2"/>
        <w:rPr>
          <w:rFonts w:ascii="Josefin Sans" w:hAnsi="Josefin Sans"/>
          <w:color w:val="AE2C8E"/>
        </w:rPr>
      </w:pPr>
      <w:r w:rsidRPr="00390DC4">
        <w:rPr>
          <w:rFonts w:ascii="Josefin Sans" w:hAnsi="Josefin Sans"/>
          <w:color w:val="AE2C8E"/>
        </w:rPr>
        <w:t>Tools for practice</w:t>
      </w:r>
    </w:p>
    <w:p w14:paraId="3AC165AC" w14:textId="77777777" w:rsidR="003C3658" w:rsidRDefault="003C3658" w:rsidP="00E2134A"/>
    <w:p w14:paraId="286657D8" w14:textId="77777777" w:rsidR="003C3658" w:rsidRDefault="003C3658" w:rsidP="00330803">
      <w:pPr>
        <w:ind w:left="567" w:hanging="425"/>
      </w:pPr>
      <w:r>
        <w:rPr>
          <w:i/>
          <w:iCs/>
        </w:rPr>
        <w:t>Ensuring Community Comes First: Actions for CCE Practitioners—Community First</w:t>
      </w:r>
      <w:r>
        <w:t xml:space="preserve">. (n.d.). Retrieved July 14, 2023, from </w:t>
      </w:r>
      <w:hyperlink r:id="rId9" w:history="1">
        <w:r>
          <w:rPr>
            <w:rStyle w:val="Hyperlink"/>
          </w:rPr>
          <w:t>https://carleton.ca/communityfirst/tools-and-resources/ensuring-community-comes-first-actions-cce-practitioners/</w:t>
        </w:r>
      </w:hyperlink>
    </w:p>
    <w:p w14:paraId="7944C392" w14:textId="77777777" w:rsidR="003C3658" w:rsidRDefault="003C3658" w:rsidP="00330803">
      <w:pPr>
        <w:ind w:left="567" w:hanging="425"/>
      </w:pPr>
    </w:p>
    <w:p w14:paraId="5E0FAA87" w14:textId="77777777" w:rsidR="003C3658" w:rsidRDefault="003C3658" w:rsidP="00330803">
      <w:pPr>
        <w:ind w:left="567" w:hanging="425"/>
      </w:pPr>
      <w:r>
        <w:t xml:space="preserve">Evidence and Policy Blog. (2021, October 20). A ‘RECIPE’ with example principles and strategies for research partnerships. </w:t>
      </w:r>
      <w:r>
        <w:rPr>
          <w:i/>
          <w:iCs/>
        </w:rPr>
        <w:t>Evidence &amp; Policy Blog</w:t>
      </w:r>
      <w:r>
        <w:t xml:space="preserve">. </w:t>
      </w:r>
      <w:hyperlink r:id="rId10" w:history="1">
        <w:r w:rsidRPr="00FA4B9E">
          <w:rPr>
            <w:rStyle w:val="Hyperlink"/>
          </w:rPr>
          <w:t>https://evidenceandpolicyblog.co.uk/2021/10/20/a-recipe-with-example-principles-and-strategies-for-research-partnerships/</w:t>
        </w:r>
      </w:hyperlink>
    </w:p>
    <w:p w14:paraId="1A0DEBDD" w14:textId="77777777" w:rsidR="003C3658" w:rsidRDefault="003C3658" w:rsidP="00330803">
      <w:pPr>
        <w:ind w:left="567" w:hanging="425"/>
      </w:pPr>
    </w:p>
    <w:p w14:paraId="231E4990" w14:textId="77777777" w:rsidR="003C3658" w:rsidRDefault="003C3658" w:rsidP="00330803">
      <w:pPr>
        <w:ind w:left="567" w:hanging="425"/>
      </w:pPr>
      <w:proofErr w:type="spellStart"/>
      <w:r>
        <w:t>Gontcharov</w:t>
      </w:r>
      <w:proofErr w:type="spellEnd"/>
      <w:r>
        <w:t xml:space="preserve">, I., Kobayashi, K., &amp; </w:t>
      </w:r>
      <w:proofErr w:type="spellStart"/>
      <w:r>
        <w:t>Grenier</w:t>
      </w:r>
      <w:proofErr w:type="spellEnd"/>
      <w:r>
        <w:t xml:space="preserve">, A. (2021). Knowledge Mobilization for an Engaged Researcher. In A. Sixsmith, J. Sixsmith, A. </w:t>
      </w:r>
      <w:proofErr w:type="spellStart"/>
      <w:r>
        <w:t>Mihailidis</w:t>
      </w:r>
      <w:proofErr w:type="spellEnd"/>
      <w:r>
        <w:t xml:space="preserve">, &amp; M. L. Fang (Eds.), </w:t>
      </w:r>
      <w:r>
        <w:rPr>
          <w:i/>
          <w:iCs/>
        </w:rPr>
        <w:t>Knowledge, Innovation, and Impact: A Guide for the Engaged Health Researcher: A Guide for the Engaged Health Researcher</w:t>
      </w:r>
      <w:r>
        <w:t xml:space="preserve"> (pp. 33–42). Springer International Publishing. </w:t>
      </w:r>
      <w:hyperlink r:id="rId11" w:history="1">
        <w:r>
          <w:rPr>
            <w:rStyle w:val="Hyperlink"/>
          </w:rPr>
          <w:t>https://doi.org/10.1007/978-3-030-34390-3_5</w:t>
        </w:r>
      </w:hyperlink>
    </w:p>
    <w:p w14:paraId="5BF8EFB4" w14:textId="77777777" w:rsidR="003C3658" w:rsidRDefault="003C3658" w:rsidP="00330803">
      <w:pPr>
        <w:ind w:left="567" w:hanging="425"/>
      </w:pPr>
    </w:p>
    <w:p w14:paraId="7810B6C9" w14:textId="77777777" w:rsidR="003C3658" w:rsidRDefault="003C3658" w:rsidP="00330803">
      <w:pPr>
        <w:ind w:left="567" w:hanging="425"/>
      </w:pPr>
      <w:proofErr w:type="spellStart"/>
      <w:r>
        <w:t>Mador</w:t>
      </w:r>
      <w:proofErr w:type="spellEnd"/>
      <w:r>
        <w:t xml:space="preserve">, R., </w:t>
      </w:r>
      <w:proofErr w:type="spellStart"/>
      <w:r>
        <w:t>Zarinpoush</w:t>
      </w:r>
      <w:proofErr w:type="spellEnd"/>
      <w:r>
        <w:t xml:space="preserve">, F., Gibson-Wood, H., &amp; </w:t>
      </w:r>
      <w:proofErr w:type="spellStart"/>
      <w:r>
        <w:t>Dattadeen</w:t>
      </w:r>
      <w:proofErr w:type="spellEnd"/>
      <w:r>
        <w:t xml:space="preserve">, J.-A. (2019). Processes and practices for building strong collaborative research partnerships: Lessons learned from the </w:t>
      </w:r>
      <w:proofErr w:type="gramStart"/>
      <w:r>
        <w:t>Locally-Driven</w:t>
      </w:r>
      <w:proofErr w:type="gramEnd"/>
      <w:r>
        <w:t xml:space="preserve"> Collaborative Projects programme. </w:t>
      </w:r>
      <w:r>
        <w:rPr>
          <w:i/>
          <w:iCs/>
        </w:rPr>
        <w:t>Evidence &amp; Policy</w:t>
      </w:r>
      <w:r>
        <w:t xml:space="preserve">, </w:t>
      </w:r>
      <w:r>
        <w:rPr>
          <w:i/>
          <w:iCs/>
        </w:rPr>
        <w:t>15</w:t>
      </w:r>
      <w:r>
        <w:t xml:space="preserve">(4), 607–619. </w:t>
      </w:r>
      <w:hyperlink r:id="rId12" w:history="1">
        <w:r>
          <w:rPr>
            <w:rStyle w:val="Hyperlink"/>
          </w:rPr>
          <w:t>https://doi.org/10.1332/174426417X15057479217862</w:t>
        </w:r>
      </w:hyperlink>
    </w:p>
    <w:p w14:paraId="34413A87" w14:textId="77777777" w:rsidR="003C3658" w:rsidRDefault="003C3658" w:rsidP="00330803">
      <w:pPr>
        <w:ind w:left="567" w:hanging="425"/>
      </w:pPr>
    </w:p>
    <w:p w14:paraId="456F0A1C" w14:textId="77777777" w:rsidR="003C3658" w:rsidRPr="00390DC4" w:rsidRDefault="003C3658" w:rsidP="00330803">
      <w:pPr>
        <w:pStyle w:val="Heading2"/>
        <w:ind w:left="567" w:hanging="425"/>
        <w:rPr>
          <w:rFonts w:ascii="Josefin Sans" w:hAnsi="Josefin Sans"/>
          <w:color w:val="AE2C8E"/>
        </w:rPr>
      </w:pPr>
      <w:r w:rsidRPr="00390DC4">
        <w:rPr>
          <w:rFonts w:ascii="Josefin Sans" w:hAnsi="Josefin Sans"/>
          <w:color w:val="AE2C8E"/>
        </w:rPr>
        <w:t>Reflecting on social position, power, and privilege</w:t>
      </w:r>
    </w:p>
    <w:p w14:paraId="4FE3AF6F" w14:textId="77777777" w:rsidR="003C3658" w:rsidRDefault="003C3658" w:rsidP="00330803">
      <w:pPr>
        <w:ind w:left="567" w:hanging="425"/>
      </w:pPr>
    </w:p>
    <w:p w14:paraId="6CCE184D" w14:textId="77777777" w:rsidR="003C3658" w:rsidRDefault="003C3658" w:rsidP="00330803">
      <w:pPr>
        <w:ind w:left="567" w:hanging="425"/>
      </w:pPr>
      <w:proofErr w:type="spellStart"/>
      <w:r>
        <w:t>Crosschild</w:t>
      </w:r>
      <w:proofErr w:type="spellEnd"/>
      <w:r>
        <w:t xml:space="preserve">, C., Huynh, N., De Sousa, I., </w:t>
      </w:r>
      <w:proofErr w:type="spellStart"/>
      <w:r>
        <w:t>Bawafaa</w:t>
      </w:r>
      <w:proofErr w:type="spellEnd"/>
      <w:r>
        <w:t xml:space="preserve">, E., &amp; Brown, H. (2021). Where is critical analysis of power and positionality in knowledge translation? </w:t>
      </w:r>
      <w:r>
        <w:rPr>
          <w:i/>
          <w:iCs/>
        </w:rPr>
        <w:t>Health Research Policy and Systems</w:t>
      </w:r>
      <w:r>
        <w:t xml:space="preserve">, </w:t>
      </w:r>
      <w:r>
        <w:rPr>
          <w:i/>
          <w:iCs/>
        </w:rPr>
        <w:t>19</w:t>
      </w:r>
      <w:r>
        <w:t xml:space="preserve">(1), 92. </w:t>
      </w:r>
      <w:hyperlink r:id="rId13" w:history="1">
        <w:r>
          <w:rPr>
            <w:rStyle w:val="Hyperlink"/>
          </w:rPr>
          <w:t>https://doi.org/10.1186/s12961-021-00726-w</w:t>
        </w:r>
      </w:hyperlink>
    </w:p>
    <w:p w14:paraId="39874027" w14:textId="77777777" w:rsidR="003C3658" w:rsidRDefault="003C3658" w:rsidP="00330803">
      <w:pPr>
        <w:ind w:left="567" w:hanging="425"/>
      </w:pPr>
    </w:p>
    <w:p w14:paraId="14B4ED84" w14:textId="77777777" w:rsidR="003C3658" w:rsidRDefault="003C3658" w:rsidP="00330803">
      <w:pPr>
        <w:ind w:left="567" w:hanging="425"/>
      </w:pPr>
      <w:r>
        <w:t xml:space="preserve">Majid, U. (2020). The Dimensions of Tokenism in Patient and Family Engagement: A Concept Analysis of the Literature. </w:t>
      </w:r>
      <w:r>
        <w:rPr>
          <w:i/>
          <w:iCs/>
        </w:rPr>
        <w:t>Journal of Patient Experience</w:t>
      </w:r>
      <w:r>
        <w:t xml:space="preserve">, </w:t>
      </w:r>
      <w:r>
        <w:rPr>
          <w:i/>
          <w:iCs/>
        </w:rPr>
        <w:t>7</w:t>
      </w:r>
      <w:r>
        <w:t xml:space="preserve">(6), 1610–1620. </w:t>
      </w:r>
      <w:hyperlink r:id="rId14" w:history="1">
        <w:r>
          <w:rPr>
            <w:rStyle w:val="Hyperlink"/>
          </w:rPr>
          <w:t>https://doi.org/10.1177/2374373520925268</w:t>
        </w:r>
      </w:hyperlink>
    </w:p>
    <w:p w14:paraId="7C089028" w14:textId="77777777" w:rsidR="003C3658" w:rsidRDefault="003C3658" w:rsidP="00330803">
      <w:pPr>
        <w:ind w:left="567" w:hanging="425"/>
      </w:pPr>
    </w:p>
    <w:p w14:paraId="6F8F3900" w14:textId="77777777" w:rsidR="003C3658" w:rsidRDefault="003C3658" w:rsidP="00330803">
      <w:pPr>
        <w:ind w:left="567" w:hanging="425"/>
      </w:pPr>
      <w:r>
        <w:t xml:space="preserve">Nixon, S. A. (2019). The coin model of privilege and critical allyship: Implications for health. </w:t>
      </w:r>
      <w:r>
        <w:rPr>
          <w:i/>
          <w:iCs/>
        </w:rPr>
        <w:t>BMC Public Health</w:t>
      </w:r>
      <w:r>
        <w:t xml:space="preserve">, </w:t>
      </w:r>
      <w:r>
        <w:rPr>
          <w:i/>
          <w:iCs/>
        </w:rPr>
        <w:t>19</w:t>
      </w:r>
      <w:r>
        <w:t xml:space="preserve">(1), 1637. </w:t>
      </w:r>
      <w:hyperlink r:id="rId15" w:history="1">
        <w:r>
          <w:rPr>
            <w:rStyle w:val="Hyperlink"/>
          </w:rPr>
          <w:t>https://doi.org/10.1186/s12889-019-7884-9</w:t>
        </w:r>
      </w:hyperlink>
    </w:p>
    <w:p w14:paraId="586FD350" w14:textId="77777777" w:rsidR="00D42779" w:rsidRDefault="00D42779" w:rsidP="00E2134A">
      <w:pPr>
        <w:sectPr w:rsidR="00D42779" w:rsidSect="00D42779">
          <w:type w:val="continuous"/>
          <w:pgSz w:w="12240" w:h="15840"/>
          <w:pgMar w:top="720" w:right="720" w:bottom="720" w:left="720" w:header="708" w:footer="708" w:gutter="0"/>
          <w:cols w:sep="1" w:space="720"/>
          <w:docGrid w:linePitch="360"/>
        </w:sectPr>
      </w:pPr>
    </w:p>
    <w:p w14:paraId="648AB98C" w14:textId="77777777" w:rsidR="003C3658" w:rsidRDefault="003C3658" w:rsidP="00E2134A"/>
    <w:p w14:paraId="69E7EA97" w14:textId="203256AB" w:rsidR="007C5EF1" w:rsidRPr="00E2134A" w:rsidRDefault="007C5EF1" w:rsidP="00E2134A"/>
    <w:sectPr w:rsidR="007C5EF1" w:rsidRPr="00E2134A" w:rsidSect="0035392E">
      <w:type w:val="continuous"/>
      <w:pgSz w:w="12240" w:h="15840"/>
      <w:pgMar w:top="720" w:right="720" w:bottom="720" w:left="720" w:header="708" w:footer="708"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36A47" w14:textId="77777777" w:rsidR="00A27EC1" w:rsidRDefault="00A27EC1" w:rsidP="00E2134A">
      <w:r>
        <w:separator/>
      </w:r>
    </w:p>
  </w:endnote>
  <w:endnote w:type="continuationSeparator" w:id="0">
    <w:p w14:paraId="24F1094A" w14:textId="77777777" w:rsidR="00A27EC1" w:rsidRDefault="00A27EC1" w:rsidP="00E2134A">
      <w:r>
        <w:continuationSeparator/>
      </w:r>
    </w:p>
  </w:endnote>
  <w:endnote w:type="continuationNotice" w:id="1">
    <w:p w14:paraId="2B76F65B" w14:textId="77777777" w:rsidR="00A27EC1" w:rsidRDefault="00A27E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Josefin Sans">
    <w:panose1 w:val="00000000000000000000"/>
    <w:charset w:val="4D"/>
    <w:family w:val="auto"/>
    <w:pitch w:val="variable"/>
    <w:sig w:usb0="A00000FF" w:usb1="4000204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D946F" w14:textId="77777777" w:rsidR="00A27EC1" w:rsidRDefault="00A27EC1" w:rsidP="00E2134A">
      <w:r>
        <w:separator/>
      </w:r>
    </w:p>
  </w:footnote>
  <w:footnote w:type="continuationSeparator" w:id="0">
    <w:p w14:paraId="75254716" w14:textId="77777777" w:rsidR="00A27EC1" w:rsidRDefault="00A27EC1" w:rsidP="00E2134A">
      <w:r>
        <w:continuationSeparator/>
      </w:r>
    </w:p>
  </w:footnote>
  <w:footnote w:type="continuationNotice" w:id="1">
    <w:p w14:paraId="54032A65" w14:textId="77777777" w:rsidR="00A27EC1" w:rsidRDefault="00A27E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F05D5"/>
    <w:multiLevelType w:val="hybridMultilevel"/>
    <w:tmpl w:val="DC82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81B34"/>
    <w:multiLevelType w:val="hybridMultilevel"/>
    <w:tmpl w:val="A4F263AE"/>
    <w:lvl w:ilvl="0" w:tplc="D948613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18752D"/>
    <w:multiLevelType w:val="hybridMultilevel"/>
    <w:tmpl w:val="1428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2C4469"/>
    <w:multiLevelType w:val="hybridMultilevel"/>
    <w:tmpl w:val="5FF6D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6286120">
    <w:abstractNumId w:val="1"/>
  </w:num>
  <w:num w:numId="2" w16cid:durableId="1363479321">
    <w:abstractNumId w:val="3"/>
  </w:num>
  <w:num w:numId="3" w16cid:durableId="1898465842">
    <w:abstractNumId w:val="0"/>
  </w:num>
  <w:num w:numId="4" w16cid:durableId="929854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0C8"/>
    <w:rsid w:val="00013CBC"/>
    <w:rsid w:val="0003517A"/>
    <w:rsid w:val="0003795D"/>
    <w:rsid w:val="00047130"/>
    <w:rsid w:val="000511BF"/>
    <w:rsid w:val="000774A0"/>
    <w:rsid w:val="000948C3"/>
    <w:rsid w:val="00096293"/>
    <w:rsid w:val="000A35B0"/>
    <w:rsid w:val="000C53C0"/>
    <w:rsid w:val="000D76FD"/>
    <w:rsid w:val="000E3D4F"/>
    <w:rsid w:val="000F3538"/>
    <w:rsid w:val="001001F8"/>
    <w:rsid w:val="00150B68"/>
    <w:rsid w:val="00151193"/>
    <w:rsid w:val="0015428B"/>
    <w:rsid w:val="00182823"/>
    <w:rsid w:val="00195B83"/>
    <w:rsid w:val="001A28A7"/>
    <w:rsid w:val="001B2F4F"/>
    <w:rsid w:val="001D362D"/>
    <w:rsid w:val="001D3B46"/>
    <w:rsid w:val="001E20AE"/>
    <w:rsid w:val="001F7F37"/>
    <w:rsid w:val="002033EC"/>
    <w:rsid w:val="0020638C"/>
    <w:rsid w:val="00231EC1"/>
    <w:rsid w:val="0023769C"/>
    <w:rsid w:val="0024754C"/>
    <w:rsid w:val="00247C15"/>
    <w:rsid w:val="00247D9A"/>
    <w:rsid w:val="002A30C8"/>
    <w:rsid w:val="002B284B"/>
    <w:rsid w:val="002D56E0"/>
    <w:rsid w:val="002E1C01"/>
    <w:rsid w:val="002F3784"/>
    <w:rsid w:val="0031507A"/>
    <w:rsid w:val="00330803"/>
    <w:rsid w:val="00331EBA"/>
    <w:rsid w:val="003428F0"/>
    <w:rsid w:val="00344FD5"/>
    <w:rsid w:val="0035392E"/>
    <w:rsid w:val="003563A9"/>
    <w:rsid w:val="00371F5E"/>
    <w:rsid w:val="00382DFE"/>
    <w:rsid w:val="00390DC4"/>
    <w:rsid w:val="003C1D04"/>
    <w:rsid w:val="003C3658"/>
    <w:rsid w:val="003C653E"/>
    <w:rsid w:val="003D6CF8"/>
    <w:rsid w:val="003E1165"/>
    <w:rsid w:val="00401465"/>
    <w:rsid w:val="004154AF"/>
    <w:rsid w:val="004204DF"/>
    <w:rsid w:val="00420E15"/>
    <w:rsid w:val="00432B91"/>
    <w:rsid w:val="004548F9"/>
    <w:rsid w:val="00460CBA"/>
    <w:rsid w:val="00465913"/>
    <w:rsid w:val="0048001F"/>
    <w:rsid w:val="004822C2"/>
    <w:rsid w:val="004A5630"/>
    <w:rsid w:val="004B6257"/>
    <w:rsid w:val="004C2438"/>
    <w:rsid w:val="004E07F1"/>
    <w:rsid w:val="004E46C9"/>
    <w:rsid w:val="004E5775"/>
    <w:rsid w:val="004E7E07"/>
    <w:rsid w:val="004F6EE4"/>
    <w:rsid w:val="00505FDB"/>
    <w:rsid w:val="00520EF1"/>
    <w:rsid w:val="00521BE4"/>
    <w:rsid w:val="00530186"/>
    <w:rsid w:val="00542EC4"/>
    <w:rsid w:val="0055403E"/>
    <w:rsid w:val="005573EF"/>
    <w:rsid w:val="00583AE1"/>
    <w:rsid w:val="005A4EFB"/>
    <w:rsid w:val="005D6597"/>
    <w:rsid w:val="005E239B"/>
    <w:rsid w:val="005E5513"/>
    <w:rsid w:val="005E5A19"/>
    <w:rsid w:val="005F07D5"/>
    <w:rsid w:val="005F539E"/>
    <w:rsid w:val="0061081C"/>
    <w:rsid w:val="0061367A"/>
    <w:rsid w:val="006206FB"/>
    <w:rsid w:val="006465D2"/>
    <w:rsid w:val="0065381E"/>
    <w:rsid w:val="00655BD1"/>
    <w:rsid w:val="00663FFA"/>
    <w:rsid w:val="00680985"/>
    <w:rsid w:val="0069127B"/>
    <w:rsid w:val="0069360D"/>
    <w:rsid w:val="00695CC0"/>
    <w:rsid w:val="006A4E0F"/>
    <w:rsid w:val="006B559F"/>
    <w:rsid w:val="006D145D"/>
    <w:rsid w:val="006D1A70"/>
    <w:rsid w:val="006F5C9D"/>
    <w:rsid w:val="006F699E"/>
    <w:rsid w:val="00700C0F"/>
    <w:rsid w:val="0071248C"/>
    <w:rsid w:val="00717AF9"/>
    <w:rsid w:val="00720B6E"/>
    <w:rsid w:val="00725ED5"/>
    <w:rsid w:val="0073188C"/>
    <w:rsid w:val="00732DE6"/>
    <w:rsid w:val="00734C85"/>
    <w:rsid w:val="007453DE"/>
    <w:rsid w:val="007559DF"/>
    <w:rsid w:val="007720A3"/>
    <w:rsid w:val="00790BC7"/>
    <w:rsid w:val="007A3364"/>
    <w:rsid w:val="007C5EF1"/>
    <w:rsid w:val="007D208C"/>
    <w:rsid w:val="007F062B"/>
    <w:rsid w:val="007F6352"/>
    <w:rsid w:val="0080551A"/>
    <w:rsid w:val="00810F97"/>
    <w:rsid w:val="00813871"/>
    <w:rsid w:val="00815BC6"/>
    <w:rsid w:val="00820A04"/>
    <w:rsid w:val="00823173"/>
    <w:rsid w:val="00832226"/>
    <w:rsid w:val="00842395"/>
    <w:rsid w:val="00844240"/>
    <w:rsid w:val="00857CFC"/>
    <w:rsid w:val="0086295C"/>
    <w:rsid w:val="00871D06"/>
    <w:rsid w:val="00896462"/>
    <w:rsid w:val="008A1C99"/>
    <w:rsid w:val="008B1F34"/>
    <w:rsid w:val="008C0F20"/>
    <w:rsid w:val="008D0A2C"/>
    <w:rsid w:val="008F522D"/>
    <w:rsid w:val="008F6520"/>
    <w:rsid w:val="00905D31"/>
    <w:rsid w:val="00906E3F"/>
    <w:rsid w:val="00913096"/>
    <w:rsid w:val="00915A9B"/>
    <w:rsid w:val="00934380"/>
    <w:rsid w:val="009373E9"/>
    <w:rsid w:val="009420C4"/>
    <w:rsid w:val="00954CFF"/>
    <w:rsid w:val="009570EC"/>
    <w:rsid w:val="0096174A"/>
    <w:rsid w:val="0097011B"/>
    <w:rsid w:val="0097014A"/>
    <w:rsid w:val="009737F4"/>
    <w:rsid w:val="00992F52"/>
    <w:rsid w:val="00993934"/>
    <w:rsid w:val="00996E2A"/>
    <w:rsid w:val="009B1741"/>
    <w:rsid w:val="009B2327"/>
    <w:rsid w:val="009C18EE"/>
    <w:rsid w:val="009C3550"/>
    <w:rsid w:val="009D45D3"/>
    <w:rsid w:val="009D571C"/>
    <w:rsid w:val="009D6BF5"/>
    <w:rsid w:val="009D7753"/>
    <w:rsid w:val="009E662D"/>
    <w:rsid w:val="009F75AD"/>
    <w:rsid w:val="00A1292B"/>
    <w:rsid w:val="00A15E07"/>
    <w:rsid w:val="00A16329"/>
    <w:rsid w:val="00A27EC1"/>
    <w:rsid w:val="00A418D6"/>
    <w:rsid w:val="00A424D0"/>
    <w:rsid w:val="00A502C4"/>
    <w:rsid w:val="00A7143F"/>
    <w:rsid w:val="00A72065"/>
    <w:rsid w:val="00AB5027"/>
    <w:rsid w:val="00AC172C"/>
    <w:rsid w:val="00AE2085"/>
    <w:rsid w:val="00B16157"/>
    <w:rsid w:val="00B32657"/>
    <w:rsid w:val="00B33D38"/>
    <w:rsid w:val="00B46E4C"/>
    <w:rsid w:val="00B71015"/>
    <w:rsid w:val="00B711EA"/>
    <w:rsid w:val="00B757E1"/>
    <w:rsid w:val="00B81B1D"/>
    <w:rsid w:val="00B93102"/>
    <w:rsid w:val="00B9691A"/>
    <w:rsid w:val="00BA09F7"/>
    <w:rsid w:val="00BB2EF6"/>
    <w:rsid w:val="00BE1F4B"/>
    <w:rsid w:val="00BF00E4"/>
    <w:rsid w:val="00BF5727"/>
    <w:rsid w:val="00C13455"/>
    <w:rsid w:val="00C34CBD"/>
    <w:rsid w:val="00C406DC"/>
    <w:rsid w:val="00C56564"/>
    <w:rsid w:val="00C672A9"/>
    <w:rsid w:val="00CD5B68"/>
    <w:rsid w:val="00D01385"/>
    <w:rsid w:val="00D3484C"/>
    <w:rsid w:val="00D42779"/>
    <w:rsid w:val="00D4724B"/>
    <w:rsid w:val="00D52320"/>
    <w:rsid w:val="00D54368"/>
    <w:rsid w:val="00D82787"/>
    <w:rsid w:val="00D97BDC"/>
    <w:rsid w:val="00DB05F0"/>
    <w:rsid w:val="00DB2549"/>
    <w:rsid w:val="00DD09F5"/>
    <w:rsid w:val="00DD578C"/>
    <w:rsid w:val="00DE21E8"/>
    <w:rsid w:val="00E05F69"/>
    <w:rsid w:val="00E2134A"/>
    <w:rsid w:val="00E42A7F"/>
    <w:rsid w:val="00E46054"/>
    <w:rsid w:val="00E64665"/>
    <w:rsid w:val="00E7417E"/>
    <w:rsid w:val="00EA2351"/>
    <w:rsid w:val="00EC7391"/>
    <w:rsid w:val="00EE42EB"/>
    <w:rsid w:val="00EF098C"/>
    <w:rsid w:val="00F05639"/>
    <w:rsid w:val="00F357CD"/>
    <w:rsid w:val="00F468DE"/>
    <w:rsid w:val="00F527F2"/>
    <w:rsid w:val="00F53BCB"/>
    <w:rsid w:val="00F722FA"/>
    <w:rsid w:val="00F73BD1"/>
    <w:rsid w:val="00F80C2B"/>
    <w:rsid w:val="00FA5E23"/>
    <w:rsid w:val="00FA706D"/>
    <w:rsid w:val="00FB1786"/>
    <w:rsid w:val="00FB36A9"/>
    <w:rsid w:val="00FB44B2"/>
    <w:rsid w:val="00FB49D9"/>
    <w:rsid w:val="00FE1711"/>
    <w:rsid w:val="00FE45B1"/>
    <w:rsid w:val="00FF77FE"/>
    <w:rsid w:val="00FF7A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4545C"/>
  <w15:chartTrackingRefBased/>
  <w15:docId w15:val="{FD9527EB-A49D-0948-A9DB-4B3ACC51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34A"/>
    <w:rPr>
      <w:rFonts w:ascii="Arial Narrow" w:hAnsi="Arial Narrow"/>
    </w:rPr>
  </w:style>
  <w:style w:type="paragraph" w:styleId="Heading1">
    <w:name w:val="heading 1"/>
    <w:basedOn w:val="Normal"/>
    <w:next w:val="Normal"/>
    <w:link w:val="Heading1Char"/>
    <w:uiPriority w:val="9"/>
    <w:qFormat/>
    <w:rsid w:val="00F80C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365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0A3"/>
    <w:pPr>
      <w:ind w:left="720"/>
      <w:contextualSpacing/>
    </w:pPr>
  </w:style>
  <w:style w:type="character" w:styleId="CommentReference">
    <w:name w:val="annotation reference"/>
    <w:basedOn w:val="DefaultParagraphFont"/>
    <w:uiPriority w:val="99"/>
    <w:semiHidden/>
    <w:unhideWhenUsed/>
    <w:rsid w:val="000F3538"/>
    <w:rPr>
      <w:sz w:val="16"/>
      <w:szCs w:val="16"/>
    </w:rPr>
  </w:style>
  <w:style w:type="paragraph" w:styleId="CommentText">
    <w:name w:val="annotation text"/>
    <w:basedOn w:val="Normal"/>
    <w:link w:val="CommentTextChar"/>
    <w:uiPriority w:val="99"/>
    <w:unhideWhenUsed/>
    <w:rsid w:val="000F3538"/>
    <w:rPr>
      <w:sz w:val="20"/>
      <w:szCs w:val="20"/>
    </w:rPr>
  </w:style>
  <w:style w:type="character" w:customStyle="1" w:styleId="CommentTextChar">
    <w:name w:val="Comment Text Char"/>
    <w:basedOn w:val="DefaultParagraphFont"/>
    <w:link w:val="CommentText"/>
    <w:uiPriority w:val="99"/>
    <w:rsid w:val="000F3538"/>
    <w:rPr>
      <w:sz w:val="20"/>
      <w:szCs w:val="20"/>
    </w:rPr>
  </w:style>
  <w:style w:type="paragraph" w:styleId="CommentSubject">
    <w:name w:val="annotation subject"/>
    <w:basedOn w:val="CommentText"/>
    <w:next w:val="CommentText"/>
    <w:link w:val="CommentSubjectChar"/>
    <w:uiPriority w:val="99"/>
    <w:semiHidden/>
    <w:unhideWhenUsed/>
    <w:rsid w:val="000F3538"/>
    <w:rPr>
      <w:b/>
      <w:bCs/>
    </w:rPr>
  </w:style>
  <w:style w:type="character" w:customStyle="1" w:styleId="CommentSubjectChar">
    <w:name w:val="Comment Subject Char"/>
    <w:basedOn w:val="CommentTextChar"/>
    <w:link w:val="CommentSubject"/>
    <w:uiPriority w:val="99"/>
    <w:semiHidden/>
    <w:rsid w:val="000F3538"/>
    <w:rPr>
      <w:b/>
      <w:bCs/>
      <w:sz w:val="20"/>
      <w:szCs w:val="20"/>
    </w:rPr>
  </w:style>
  <w:style w:type="character" w:customStyle="1" w:styleId="Heading1Char">
    <w:name w:val="Heading 1 Char"/>
    <w:basedOn w:val="DefaultParagraphFont"/>
    <w:link w:val="Heading1"/>
    <w:uiPriority w:val="9"/>
    <w:rsid w:val="00F80C2B"/>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428F0"/>
  </w:style>
  <w:style w:type="table" w:styleId="TableGrid">
    <w:name w:val="Table Grid"/>
    <w:basedOn w:val="TableNormal"/>
    <w:uiPriority w:val="39"/>
    <w:rsid w:val="007A3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1309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13096"/>
    <w:rPr>
      <w:rFonts w:eastAsiaTheme="minorEastAsia"/>
      <w:color w:val="5A5A5A" w:themeColor="text1" w:themeTint="A5"/>
      <w:spacing w:val="15"/>
      <w:sz w:val="22"/>
      <w:szCs w:val="22"/>
    </w:rPr>
  </w:style>
  <w:style w:type="paragraph" w:styleId="Header">
    <w:name w:val="header"/>
    <w:basedOn w:val="Normal"/>
    <w:link w:val="HeaderChar"/>
    <w:uiPriority w:val="99"/>
    <w:unhideWhenUsed/>
    <w:rsid w:val="00832226"/>
    <w:pPr>
      <w:tabs>
        <w:tab w:val="center" w:pos="4680"/>
        <w:tab w:val="right" w:pos="9360"/>
      </w:tabs>
    </w:pPr>
  </w:style>
  <w:style w:type="character" w:customStyle="1" w:styleId="HeaderChar">
    <w:name w:val="Header Char"/>
    <w:basedOn w:val="DefaultParagraphFont"/>
    <w:link w:val="Header"/>
    <w:uiPriority w:val="99"/>
    <w:rsid w:val="00832226"/>
  </w:style>
  <w:style w:type="paragraph" w:styleId="Footer">
    <w:name w:val="footer"/>
    <w:basedOn w:val="Normal"/>
    <w:link w:val="FooterChar"/>
    <w:uiPriority w:val="99"/>
    <w:unhideWhenUsed/>
    <w:rsid w:val="00832226"/>
    <w:pPr>
      <w:tabs>
        <w:tab w:val="center" w:pos="4680"/>
        <w:tab w:val="right" w:pos="9360"/>
      </w:tabs>
    </w:pPr>
  </w:style>
  <w:style w:type="character" w:customStyle="1" w:styleId="FooterChar">
    <w:name w:val="Footer Char"/>
    <w:basedOn w:val="DefaultParagraphFont"/>
    <w:link w:val="Footer"/>
    <w:uiPriority w:val="99"/>
    <w:rsid w:val="00832226"/>
  </w:style>
  <w:style w:type="character" w:customStyle="1" w:styleId="Heading2Char">
    <w:name w:val="Heading 2 Char"/>
    <w:basedOn w:val="DefaultParagraphFont"/>
    <w:link w:val="Heading2"/>
    <w:uiPriority w:val="9"/>
    <w:rsid w:val="003C365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C3658"/>
    <w:rPr>
      <w:color w:val="0563C1" w:themeColor="hyperlink"/>
      <w:u w:val="single"/>
    </w:rPr>
  </w:style>
  <w:style w:type="character" w:styleId="UnresolvedMention">
    <w:name w:val="Unresolved Mention"/>
    <w:basedOn w:val="DefaultParagraphFont"/>
    <w:uiPriority w:val="99"/>
    <w:semiHidden/>
    <w:unhideWhenUsed/>
    <w:rsid w:val="00420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whr.org/wp-content/uploads/2023/09/PWHR-Knowledge-Summary_Final.pdf" TargetMode="External"/><Relationship Id="rId13" Type="http://schemas.openxmlformats.org/officeDocument/2006/relationships/hyperlink" Target="https://doi.org/10.1186/s12961-021-00726-w"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doi.org/10.1332/174426417X1505747921786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978-3-030-34390-3_5" TargetMode="External"/><Relationship Id="rId5" Type="http://schemas.openxmlformats.org/officeDocument/2006/relationships/footnotes" Target="footnotes.xml"/><Relationship Id="rId15" Type="http://schemas.openxmlformats.org/officeDocument/2006/relationships/hyperlink" Target="https://doi.org/10.1186/s12889-019-7884-9" TargetMode="External"/><Relationship Id="rId10" Type="http://schemas.openxmlformats.org/officeDocument/2006/relationships/hyperlink" Target="https://evidenceandpolicyblog.co.uk/2021/10/20/a-recipe-with-example-principles-and-strategies-for-research-partnerships/" TargetMode="External"/><Relationship Id="rId4" Type="http://schemas.openxmlformats.org/officeDocument/2006/relationships/webSettings" Target="webSettings.xml"/><Relationship Id="rId9" Type="http://schemas.openxmlformats.org/officeDocument/2006/relationships/hyperlink" Target="https://carleton.ca/communityfirst/tools-and-resources/ensuring-community-comes-first-actions-cce-practitioners/" TargetMode="External"/><Relationship Id="rId14" Type="http://schemas.openxmlformats.org/officeDocument/2006/relationships/hyperlink" Target="https://doi.org/10.1177/23743735209252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Nelson</dc:creator>
  <cp:keywords/>
  <dc:description/>
  <cp:lastModifiedBy>Melissa Nelson</cp:lastModifiedBy>
  <cp:revision>6</cp:revision>
  <dcterms:created xsi:type="dcterms:W3CDTF">2023-08-24T08:51:00Z</dcterms:created>
  <dcterms:modified xsi:type="dcterms:W3CDTF">2023-09-21T04:26:00Z</dcterms:modified>
</cp:coreProperties>
</file>